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450" w:rsidRDefault="00403450" w:rsidP="000C0D25">
      <w:pPr>
        <w:jc w:val="center"/>
        <w:rPr>
          <w:b/>
          <w:color w:val="1F497D" w:themeColor="text2"/>
          <w:sz w:val="28"/>
          <w:szCs w:val="28"/>
        </w:rPr>
      </w:pPr>
      <w:bookmarkStart w:id="0" w:name="_GoBack"/>
      <w:bookmarkEnd w:id="0"/>
    </w:p>
    <w:p w:rsidR="00403450" w:rsidRDefault="00403450" w:rsidP="000C0D25">
      <w:pPr>
        <w:jc w:val="center"/>
        <w:rPr>
          <w:b/>
          <w:color w:val="1F497D" w:themeColor="text2"/>
          <w:sz w:val="28"/>
          <w:szCs w:val="28"/>
        </w:rPr>
      </w:pPr>
    </w:p>
    <w:p w:rsidR="00403450" w:rsidRDefault="00094C24" w:rsidP="000C0D25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noProof/>
          <w:color w:val="1F497D" w:themeColor="text2"/>
          <w:sz w:val="28"/>
          <w:szCs w:val="28"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814070</wp:posOffset>
            </wp:positionH>
            <wp:positionV relativeFrom="paragraph">
              <wp:posOffset>98425</wp:posOffset>
            </wp:positionV>
            <wp:extent cx="4324350" cy="1333500"/>
            <wp:effectExtent l="19050" t="0" r="0" b="0"/>
            <wp:wrapSquare wrapText="bothSides"/>
            <wp:docPr id="3" name="Imagen 2" descr="logo agencia recor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 agencia recortad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 b="29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2339" w:rsidRDefault="006D2339" w:rsidP="000C0D25">
      <w:pPr>
        <w:jc w:val="center"/>
        <w:rPr>
          <w:b/>
          <w:color w:val="1F497D" w:themeColor="text2"/>
          <w:sz w:val="44"/>
          <w:szCs w:val="44"/>
        </w:rPr>
      </w:pPr>
    </w:p>
    <w:p w:rsidR="006D2339" w:rsidRDefault="006D2339" w:rsidP="000C0D25">
      <w:pPr>
        <w:jc w:val="center"/>
        <w:rPr>
          <w:b/>
          <w:color w:val="1F497D" w:themeColor="text2"/>
          <w:sz w:val="44"/>
          <w:szCs w:val="44"/>
        </w:rPr>
      </w:pPr>
    </w:p>
    <w:p w:rsidR="006D2339" w:rsidRDefault="006D2339" w:rsidP="000C0D25">
      <w:pPr>
        <w:jc w:val="center"/>
        <w:rPr>
          <w:b/>
          <w:color w:val="1F497D" w:themeColor="text2"/>
          <w:sz w:val="44"/>
          <w:szCs w:val="44"/>
        </w:rPr>
      </w:pPr>
    </w:p>
    <w:p w:rsidR="00094C24" w:rsidRDefault="00094C24" w:rsidP="000C0D25">
      <w:pPr>
        <w:jc w:val="center"/>
        <w:rPr>
          <w:b/>
          <w:color w:val="1F497D" w:themeColor="text2"/>
          <w:sz w:val="44"/>
          <w:szCs w:val="44"/>
        </w:rPr>
      </w:pPr>
    </w:p>
    <w:p w:rsidR="00094C24" w:rsidRDefault="00094C24" w:rsidP="000C0D25">
      <w:pPr>
        <w:jc w:val="center"/>
        <w:rPr>
          <w:b/>
          <w:color w:val="1F497D" w:themeColor="text2"/>
          <w:sz w:val="44"/>
          <w:szCs w:val="44"/>
        </w:rPr>
      </w:pPr>
    </w:p>
    <w:p w:rsidR="00CA59D5" w:rsidRDefault="005C2FA2" w:rsidP="00094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1F497D" w:themeColor="text2"/>
          <w:sz w:val="44"/>
          <w:szCs w:val="44"/>
        </w:rPr>
      </w:pPr>
      <w:r>
        <w:rPr>
          <w:b/>
          <w:color w:val="1F497D" w:themeColor="text2"/>
          <w:sz w:val="44"/>
          <w:szCs w:val="44"/>
        </w:rPr>
        <w:t>AUTOINFORME DE RENOVACIÓN DE LA ACREDITACIÓN</w:t>
      </w:r>
      <w:r w:rsidR="00C8378B">
        <w:rPr>
          <w:b/>
          <w:color w:val="1F497D" w:themeColor="text2"/>
          <w:sz w:val="44"/>
          <w:szCs w:val="44"/>
        </w:rPr>
        <w:t xml:space="preserve"> DE TÍTULOS OFICIALES DE GRADO Y MÁSTER</w:t>
      </w:r>
    </w:p>
    <w:p w:rsidR="00094C24" w:rsidRDefault="00094C24" w:rsidP="000C0D25">
      <w:pPr>
        <w:jc w:val="center"/>
        <w:rPr>
          <w:b/>
          <w:color w:val="1F497D" w:themeColor="text2"/>
          <w:sz w:val="44"/>
          <w:szCs w:val="44"/>
        </w:rPr>
      </w:pPr>
    </w:p>
    <w:p w:rsidR="00094C24" w:rsidRDefault="00094C24" w:rsidP="000C0D25">
      <w:pPr>
        <w:jc w:val="center"/>
        <w:rPr>
          <w:b/>
          <w:color w:val="1F497D" w:themeColor="text2"/>
          <w:sz w:val="44"/>
          <w:szCs w:val="44"/>
        </w:rPr>
      </w:pPr>
    </w:p>
    <w:p w:rsidR="00094C24" w:rsidRDefault="00094C24" w:rsidP="000C0D25">
      <w:pPr>
        <w:jc w:val="center"/>
        <w:rPr>
          <w:b/>
          <w:color w:val="1F497D" w:themeColor="text2"/>
          <w:sz w:val="44"/>
          <w:szCs w:val="44"/>
        </w:rPr>
      </w:pPr>
    </w:p>
    <w:p w:rsidR="00094C24" w:rsidRDefault="00094C24" w:rsidP="000C0D25">
      <w:pPr>
        <w:jc w:val="center"/>
        <w:rPr>
          <w:b/>
          <w:color w:val="1F497D" w:themeColor="text2"/>
          <w:sz w:val="44"/>
          <w:szCs w:val="44"/>
        </w:rPr>
      </w:pPr>
    </w:p>
    <w:p w:rsidR="000D77AE" w:rsidRDefault="000D77AE" w:rsidP="00094C24">
      <w:pPr>
        <w:tabs>
          <w:tab w:val="left" w:pos="542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94C24">
        <w:rPr>
          <w:b/>
          <w:sz w:val="28"/>
          <w:szCs w:val="28"/>
        </w:rPr>
        <w:lastRenderedPageBreak/>
        <w:tab/>
      </w:r>
    </w:p>
    <w:p w:rsidR="005C2FA2" w:rsidRPr="005C2FA2" w:rsidRDefault="005C2FA2" w:rsidP="00056B11">
      <w:pPr>
        <w:pStyle w:val="Ttulo2"/>
        <w:jc w:val="center"/>
        <w:rPr>
          <w:sz w:val="24"/>
          <w:szCs w:val="24"/>
        </w:rPr>
      </w:pPr>
    </w:p>
    <w:p w:rsidR="00BC42E4" w:rsidRDefault="00BC42E4" w:rsidP="00772D54">
      <w:pPr>
        <w:jc w:val="both"/>
        <w:rPr>
          <w:i/>
          <w:sz w:val="24"/>
          <w:szCs w:val="24"/>
        </w:rPr>
      </w:pPr>
    </w:p>
    <w:p w:rsidR="00772D54" w:rsidRPr="004F2430" w:rsidRDefault="005C2FA2" w:rsidP="00772D54">
      <w:pPr>
        <w:jc w:val="both"/>
        <w:rPr>
          <w:i/>
          <w:sz w:val="24"/>
          <w:szCs w:val="24"/>
        </w:rPr>
      </w:pPr>
      <w:r w:rsidRPr="005C2FA2">
        <w:rPr>
          <w:i/>
          <w:sz w:val="24"/>
          <w:szCs w:val="24"/>
        </w:rPr>
        <w:t xml:space="preserve">La presente propuesta se ha elaborado para facilitar la redacción del </w:t>
      </w:r>
      <w:proofErr w:type="spellStart"/>
      <w:r w:rsidRPr="004F2430">
        <w:rPr>
          <w:i/>
          <w:sz w:val="24"/>
          <w:szCs w:val="24"/>
        </w:rPr>
        <w:t>Autoinforme</w:t>
      </w:r>
      <w:proofErr w:type="spellEnd"/>
      <w:r w:rsidRPr="004F2430">
        <w:rPr>
          <w:i/>
          <w:sz w:val="24"/>
          <w:szCs w:val="24"/>
        </w:rPr>
        <w:t xml:space="preserve">, siguiendo los criterios y </w:t>
      </w:r>
      <w:proofErr w:type="spellStart"/>
      <w:r w:rsidRPr="004F2430">
        <w:rPr>
          <w:i/>
          <w:sz w:val="24"/>
          <w:szCs w:val="24"/>
        </w:rPr>
        <w:t>subcriterios</w:t>
      </w:r>
      <w:proofErr w:type="spellEnd"/>
      <w:r w:rsidRPr="004F2430">
        <w:rPr>
          <w:i/>
          <w:sz w:val="24"/>
          <w:szCs w:val="24"/>
        </w:rPr>
        <w:t xml:space="preserve"> que serán analizados en el proceso de renovación de la acreditación.</w:t>
      </w:r>
      <w:r w:rsidR="00772D54" w:rsidRPr="004F2430">
        <w:rPr>
          <w:i/>
          <w:sz w:val="24"/>
          <w:szCs w:val="24"/>
        </w:rPr>
        <w:t xml:space="preserve"> Dentro de cada </w:t>
      </w:r>
      <w:proofErr w:type="spellStart"/>
      <w:r w:rsidR="00772D54" w:rsidRPr="004F2430">
        <w:rPr>
          <w:i/>
          <w:sz w:val="24"/>
          <w:szCs w:val="24"/>
        </w:rPr>
        <w:t>subcriterio</w:t>
      </w:r>
      <w:proofErr w:type="spellEnd"/>
      <w:r w:rsidR="00772D54" w:rsidRPr="004F2430">
        <w:rPr>
          <w:i/>
          <w:sz w:val="24"/>
          <w:szCs w:val="24"/>
        </w:rPr>
        <w:t xml:space="preserve">, se indican los estándares sobre los que la Universidad ha de justificar su cumplimiento, incluyendo una breve descripción y valoración del mismo. En cada </w:t>
      </w:r>
      <w:proofErr w:type="spellStart"/>
      <w:r w:rsidR="00772D54" w:rsidRPr="004F2430">
        <w:rPr>
          <w:i/>
          <w:sz w:val="24"/>
          <w:szCs w:val="24"/>
        </w:rPr>
        <w:t>subcriterio</w:t>
      </w:r>
      <w:proofErr w:type="spellEnd"/>
      <w:r w:rsidR="00772D54" w:rsidRPr="004F2430">
        <w:rPr>
          <w:i/>
          <w:sz w:val="24"/>
          <w:szCs w:val="24"/>
        </w:rPr>
        <w:t>, la Universidad indicar</w:t>
      </w:r>
      <w:r w:rsidR="004F2430" w:rsidRPr="004F2430">
        <w:rPr>
          <w:i/>
          <w:sz w:val="24"/>
          <w:szCs w:val="24"/>
        </w:rPr>
        <w:t>á</w:t>
      </w:r>
      <w:r w:rsidR="00772D54" w:rsidRPr="004F2430">
        <w:rPr>
          <w:i/>
          <w:sz w:val="24"/>
          <w:szCs w:val="24"/>
        </w:rPr>
        <w:t>, mediante un listado, las evidencias que considere oportuno</w:t>
      </w:r>
      <w:r w:rsidR="00BC42E4" w:rsidRPr="004F2430">
        <w:rPr>
          <w:i/>
          <w:sz w:val="24"/>
          <w:szCs w:val="24"/>
        </w:rPr>
        <w:t>. La relación total de evidencias se ha de presentar en un listado anexo, haciendo referencia al lugar en el que se pueden consultar</w:t>
      </w:r>
      <w:r w:rsidR="00772D54" w:rsidRPr="004F2430">
        <w:rPr>
          <w:i/>
          <w:sz w:val="24"/>
          <w:szCs w:val="24"/>
        </w:rPr>
        <w:t xml:space="preserve"> (Gestor documental de ACSUCYL, web de la Universidad, etc.).</w:t>
      </w:r>
    </w:p>
    <w:p w:rsidR="00772D54" w:rsidRPr="004F2430" w:rsidRDefault="00772D54" w:rsidP="00772D54">
      <w:pPr>
        <w:jc w:val="both"/>
        <w:rPr>
          <w:i/>
          <w:sz w:val="24"/>
          <w:szCs w:val="24"/>
        </w:rPr>
      </w:pPr>
      <w:r w:rsidRPr="004F2430">
        <w:rPr>
          <w:i/>
          <w:sz w:val="24"/>
          <w:szCs w:val="24"/>
        </w:rPr>
        <w:t xml:space="preserve">Para la elaboración del </w:t>
      </w:r>
      <w:proofErr w:type="spellStart"/>
      <w:r w:rsidRPr="004F2430">
        <w:rPr>
          <w:i/>
          <w:sz w:val="24"/>
          <w:szCs w:val="24"/>
        </w:rPr>
        <w:t>Autoinforme</w:t>
      </w:r>
      <w:proofErr w:type="spellEnd"/>
      <w:r w:rsidRPr="004F2430">
        <w:rPr>
          <w:i/>
          <w:sz w:val="24"/>
          <w:szCs w:val="24"/>
        </w:rPr>
        <w:t xml:space="preserve">, se recomienda consultar la </w:t>
      </w:r>
      <w:r w:rsidRPr="004F2430">
        <w:rPr>
          <w:b/>
          <w:i/>
          <w:sz w:val="24"/>
          <w:szCs w:val="24"/>
        </w:rPr>
        <w:t>Guía de evaluación de la renovación de la acreditación</w:t>
      </w:r>
      <w:r w:rsidRPr="004F2430">
        <w:rPr>
          <w:i/>
          <w:sz w:val="24"/>
          <w:szCs w:val="24"/>
        </w:rPr>
        <w:t xml:space="preserve">, en la que se definen los criterios, </w:t>
      </w:r>
      <w:proofErr w:type="spellStart"/>
      <w:r w:rsidRPr="004F2430">
        <w:rPr>
          <w:i/>
          <w:sz w:val="24"/>
          <w:szCs w:val="24"/>
        </w:rPr>
        <w:t>subcriterios</w:t>
      </w:r>
      <w:proofErr w:type="spellEnd"/>
      <w:r w:rsidRPr="004F2430">
        <w:rPr>
          <w:i/>
          <w:sz w:val="24"/>
          <w:szCs w:val="24"/>
        </w:rPr>
        <w:t xml:space="preserve"> y estándares cuyo cumplimiento los evaluadores habrán de analizar. Así mismo, en ella se indican </w:t>
      </w:r>
      <w:r w:rsidR="004F2430" w:rsidRPr="004F2430">
        <w:rPr>
          <w:i/>
          <w:sz w:val="24"/>
          <w:szCs w:val="24"/>
        </w:rPr>
        <w:t xml:space="preserve">las </w:t>
      </w:r>
      <w:r w:rsidRPr="004F2430">
        <w:rPr>
          <w:i/>
          <w:sz w:val="24"/>
          <w:szCs w:val="24"/>
        </w:rPr>
        <w:t>posibles evidencias que la Universidad puede presentar para justificar su cumplimiento.</w:t>
      </w:r>
    </w:p>
    <w:p w:rsidR="005C2FA2" w:rsidRDefault="005C2FA2" w:rsidP="005C2FA2">
      <w:pPr>
        <w:jc w:val="both"/>
        <w:rPr>
          <w:i/>
          <w:sz w:val="24"/>
          <w:szCs w:val="24"/>
        </w:rPr>
      </w:pPr>
      <w:r w:rsidRPr="004F2430">
        <w:rPr>
          <w:i/>
          <w:sz w:val="24"/>
          <w:szCs w:val="24"/>
        </w:rPr>
        <w:t xml:space="preserve">En el diseño de este </w:t>
      </w:r>
      <w:proofErr w:type="spellStart"/>
      <w:r w:rsidRPr="004F2430">
        <w:rPr>
          <w:i/>
          <w:sz w:val="24"/>
          <w:szCs w:val="24"/>
        </w:rPr>
        <w:t>Autoinforme</w:t>
      </w:r>
      <w:proofErr w:type="spellEnd"/>
      <w:r w:rsidRPr="004F2430">
        <w:rPr>
          <w:i/>
          <w:sz w:val="24"/>
          <w:szCs w:val="24"/>
        </w:rPr>
        <w:t>, se han tenido</w:t>
      </w:r>
      <w:r w:rsidR="00C10A5B" w:rsidRPr="004F2430">
        <w:rPr>
          <w:i/>
          <w:sz w:val="24"/>
          <w:szCs w:val="24"/>
        </w:rPr>
        <w:t xml:space="preserve"> </w:t>
      </w:r>
      <w:r w:rsidRPr="004F2430">
        <w:rPr>
          <w:i/>
          <w:sz w:val="24"/>
          <w:szCs w:val="24"/>
        </w:rPr>
        <w:t>en cuenta los criterios y elementos</w:t>
      </w:r>
      <w:r w:rsidRPr="005C2FA2">
        <w:rPr>
          <w:i/>
          <w:sz w:val="24"/>
          <w:szCs w:val="24"/>
        </w:rPr>
        <w:t xml:space="preserve"> valorados en el proceso de seguimiento desarrollado por la Agencia, de forma que los responsables de su elaboración puedan encontrar información relevante en los Informes previos del título. Junto a ellos, se incluyen aspectos sobre los que la institución ha de valorar su desarrollo en los años previos, ya que el </w:t>
      </w:r>
      <w:proofErr w:type="spellStart"/>
      <w:r w:rsidRPr="005C2FA2">
        <w:rPr>
          <w:i/>
          <w:sz w:val="24"/>
          <w:szCs w:val="24"/>
        </w:rPr>
        <w:t>Autoinforme</w:t>
      </w:r>
      <w:proofErr w:type="spellEnd"/>
      <w:r w:rsidRPr="005C2FA2">
        <w:rPr>
          <w:i/>
          <w:sz w:val="24"/>
          <w:szCs w:val="24"/>
        </w:rPr>
        <w:t xml:space="preserve"> debe suponer una reflexión sobre la pertinencia, la mejora y la viabilidad futura del título.</w:t>
      </w:r>
    </w:p>
    <w:p w:rsidR="005C2FA2" w:rsidRPr="005C2FA2" w:rsidRDefault="005C2FA2" w:rsidP="005C2FA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Se recomienda que la extensión del </w:t>
      </w:r>
      <w:proofErr w:type="spellStart"/>
      <w:r>
        <w:rPr>
          <w:i/>
          <w:sz w:val="24"/>
          <w:szCs w:val="24"/>
        </w:rPr>
        <w:t>Autoinforme</w:t>
      </w:r>
      <w:proofErr w:type="spellEnd"/>
      <w:r w:rsidR="00056B1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no exceda las </w:t>
      </w:r>
      <w:r w:rsidR="00C10A5B">
        <w:rPr>
          <w:i/>
          <w:sz w:val="24"/>
          <w:szCs w:val="24"/>
        </w:rPr>
        <w:t>4</w:t>
      </w:r>
      <w:r w:rsidR="00BC42E4">
        <w:rPr>
          <w:i/>
          <w:sz w:val="24"/>
          <w:szCs w:val="24"/>
        </w:rPr>
        <w:t>0 páginas</w:t>
      </w:r>
      <w:r w:rsidR="00BC42E4">
        <w:rPr>
          <w:rStyle w:val="Refdenotaalpie"/>
          <w:i/>
          <w:sz w:val="24"/>
          <w:szCs w:val="24"/>
        </w:rPr>
        <w:footnoteReference w:id="1"/>
      </w:r>
      <w:r w:rsidR="00BC42E4">
        <w:rPr>
          <w:i/>
          <w:sz w:val="24"/>
          <w:szCs w:val="24"/>
        </w:rPr>
        <w:t>.</w:t>
      </w:r>
    </w:p>
    <w:p w:rsidR="005C2FA2" w:rsidRDefault="005C2FA2">
      <w:r>
        <w:br w:type="page"/>
      </w:r>
    </w:p>
    <w:p w:rsidR="005C2FA2" w:rsidRDefault="005C2FA2" w:rsidP="005C2FA2">
      <w:pPr>
        <w:jc w:val="both"/>
      </w:pPr>
    </w:p>
    <w:p w:rsidR="00EB5F81" w:rsidRDefault="00EB5F81" w:rsidP="00EB5F81">
      <w:pPr>
        <w:jc w:val="center"/>
        <w:rPr>
          <w:b/>
          <w:sz w:val="36"/>
          <w:szCs w:val="36"/>
        </w:rPr>
      </w:pPr>
      <w:r w:rsidRPr="00EB5F81">
        <w:rPr>
          <w:b/>
          <w:sz w:val="36"/>
          <w:szCs w:val="36"/>
        </w:rPr>
        <w:t>AUTOINFORME DE RENOVACIÓN DE LA ACREDITACIÓN</w:t>
      </w:r>
    </w:p>
    <w:p w:rsidR="00EB5F81" w:rsidRPr="00EB5F81" w:rsidRDefault="00EB5F81" w:rsidP="00EB5F81">
      <w:pPr>
        <w:jc w:val="center"/>
        <w:rPr>
          <w:b/>
          <w:sz w:val="36"/>
          <w:szCs w:val="36"/>
        </w:rPr>
      </w:pPr>
    </w:p>
    <w:tbl>
      <w:tblPr>
        <w:tblpPr w:leftFromText="141" w:rightFromText="141" w:vertAnchor="text" w:horzAnchor="margin" w:tblpY="30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1"/>
        <w:gridCol w:w="1976"/>
        <w:gridCol w:w="1902"/>
        <w:gridCol w:w="2943"/>
      </w:tblGrid>
      <w:tr w:rsidR="005C2FA2" w:rsidRPr="006C1540" w:rsidTr="00EB5F81">
        <w:tc>
          <w:tcPr>
            <w:tcW w:w="2501" w:type="dxa"/>
          </w:tcPr>
          <w:p w:rsidR="005C2FA2" w:rsidRPr="006C1540" w:rsidRDefault="005C2FA2" w:rsidP="005C2FA2">
            <w:pPr>
              <w:jc w:val="both"/>
              <w:rPr>
                <w:b/>
              </w:rPr>
            </w:pPr>
            <w:r w:rsidRPr="006C1540">
              <w:rPr>
                <w:b/>
              </w:rPr>
              <w:t>UNIVERSIDAD</w:t>
            </w:r>
          </w:p>
        </w:tc>
        <w:tc>
          <w:tcPr>
            <w:tcW w:w="1976" w:type="dxa"/>
          </w:tcPr>
          <w:p w:rsidR="005C2FA2" w:rsidRPr="006C1540" w:rsidRDefault="005C2FA2" w:rsidP="005C2FA2">
            <w:pPr>
              <w:jc w:val="both"/>
            </w:pPr>
          </w:p>
        </w:tc>
        <w:tc>
          <w:tcPr>
            <w:tcW w:w="1902" w:type="dxa"/>
          </w:tcPr>
          <w:p w:rsidR="005C2FA2" w:rsidRPr="006C1540" w:rsidRDefault="005C2FA2" w:rsidP="005C2FA2">
            <w:pPr>
              <w:jc w:val="both"/>
            </w:pPr>
            <w:r>
              <w:rPr>
                <w:b/>
              </w:rPr>
              <w:t>TÍTULO</w:t>
            </w:r>
          </w:p>
        </w:tc>
        <w:tc>
          <w:tcPr>
            <w:tcW w:w="2943" w:type="dxa"/>
          </w:tcPr>
          <w:p w:rsidR="005C2FA2" w:rsidRPr="006C1540" w:rsidRDefault="005C2FA2" w:rsidP="005C2FA2">
            <w:pPr>
              <w:jc w:val="both"/>
            </w:pPr>
          </w:p>
        </w:tc>
      </w:tr>
      <w:tr w:rsidR="005C2FA2" w:rsidRPr="006C1540" w:rsidTr="00EB5F81">
        <w:tc>
          <w:tcPr>
            <w:tcW w:w="2501" w:type="dxa"/>
          </w:tcPr>
          <w:p w:rsidR="005C2FA2" w:rsidRDefault="005C2FA2" w:rsidP="005C2FA2">
            <w:pPr>
              <w:jc w:val="both"/>
              <w:rPr>
                <w:b/>
              </w:rPr>
            </w:pPr>
            <w:r>
              <w:rPr>
                <w:b/>
              </w:rPr>
              <w:t>CENTRO/S EN LOS QUE SE IMPARTE</w:t>
            </w:r>
          </w:p>
        </w:tc>
        <w:tc>
          <w:tcPr>
            <w:tcW w:w="6821" w:type="dxa"/>
            <w:gridSpan w:val="3"/>
          </w:tcPr>
          <w:p w:rsidR="005C2FA2" w:rsidRPr="006C1540" w:rsidRDefault="005C2FA2" w:rsidP="005C2FA2">
            <w:pPr>
              <w:jc w:val="both"/>
            </w:pPr>
          </w:p>
        </w:tc>
      </w:tr>
      <w:tr w:rsidR="005C2FA2" w:rsidRPr="006C1540" w:rsidTr="00EB5F81">
        <w:tc>
          <w:tcPr>
            <w:tcW w:w="2501" w:type="dxa"/>
          </w:tcPr>
          <w:p w:rsidR="005C2FA2" w:rsidRPr="009457C4" w:rsidRDefault="005C2FA2" w:rsidP="005C2FA2">
            <w:pPr>
              <w:jc w:val="both"/>
              <w:rPr>
                <w:b/>
              </w:rPr>
            </w:pPr>
            <w:r w:rsidRPr="009457C4">
              <w:rPr>
                <w:b/>
              </w:rPr>
              <w:t xml:space="preserve">ÓRGANO DE APROBACIÓN DEL AUTOINFORME </w:t>
            </w:r>
          </w:p>
        </w:tc>
        <w:tc>
          <w:tcPr>
            <w:tcW w:w="1976" w:type="dxa"/>
          </w:tcPr>
          <w:p w:rsidR="005C2FA2" w:rsidRPr="006C1540" w:rsidRDefault="005C2FA2" w:rsidP="005C2FA2">
            <w:pPr>
              <w:jc w:val="both"/>
            </w:pPr>
          </w:p>
        </w:tc>
        <w:tc>
          <w:tcPr>
            <w:tcW w:w="1902" w:type="dxa"/>
          </w:tcPr>
          <w:p w:rsidR="005C2FA2" w:rsidRPr="006C1540" w:rsidRDefault="005C2FA2" w:rsidP="005C2FA2">
            <w:pPr>
              <w:jc w:val="both"/>
            </w:pPr>
            <w:r w:rsidRPr="006C1540">
              <w:rPr>
                <w:b/>
              </w:rPr>
              <w:t xml:space="preserve">FECHA </w:t>
            </w:r>
            <w:r w:rsidRPr="0067636F">
              <w:rPr>
                <w:b/>
              </w:rPr>
              <w:t>DE APROBACIÓN DEL</w:t>
            </w:r>
            <w:r w:rsidRPr="006C1540">
              <w:rPr>
                <w:b/>
              </w:rPr>
              <w:t xml:space="preserve"> </w:t>
            </w:r>
            <w:r>
              <w:rPr>
                <w:b/>
              </w:rPr>
              <w:t>AUTO</w:t>
            </w:r>
            <w:r w:rsidRPr="006C1540">
              <w:rPr>
                <w:b/>
              </w:rPr>
              <w:t>INFORME</w:t>
            </w:r>
          </w:p>
        </w:tc>
        <w:tc>
          <w:tcPr>
            <w:tcW w:w="2943" w:type="dxa"/>
          </w:tcPr>
          <w:p w:rsidR="005C2FA2" w:rsidRPr="006C1540" w:rsidRDefault="005C2FA2" w:rsidP="005C2FA2">
            <w:pPr>
              <w:jc w:val="both"/>
            </w:pPr>
          </w:p>
        </w:tc>
      </w:tr>
    </w:tbl>
    <w:p w:rsidR="00EB5F81" w:rsidRDefault="00EB5F81" w:rsidP="005C2FA2">
      <w:pPr>
        <w:pStyle w:val="Prrafodelista"/>
        <w:spacing w:before="240" w:after="240" w:line="240" w:lineRule="auto"/>
        <w:ind w:left="360"/>
        <w:contextualSpacing w:val="0"/>
        <w:jc w:val="both"/>
        <w:rPr>
          <w:rFonts w:cs="Arial"/>
          <w:color w:val="FF0000"/>
          <w:lang w:val="es-ES_tradnl"/>
        </w:rPr>
      </w:pPr>
    </w:p>
    <w:p w:rsidR="005C2FA2" w:rsidRPr="00EB5F81" w:rsidRDefault="00EB5F81" w:rsidP="00EB5F81">
      <w:pPr>
        <w:rPr>
          <w:rFonts w:cs="Arial"/>
          <w:b/>
          <w:sz w:val="28"/>
          <w:szCs w:val="28"/>
          <w:lang w:val="es-ES_tradnl"/>
        </w:rPr>
      </w:pPr>
      <w:r w:rsidRPr="00EB5F81">
        <w:rPr>
          <w:rFonts w:cs="Arial"/>
          <w:b/>
          <w:sz w:val="28"/>
          <w:szCs w:val="28"/>
          <w:lang w:val="es-ES_tradnl"/>
        </w:rPr>
        <w:t>INTRODUCCIÓN</w:t>
      </w:r>
    </w:p>
    <w:p w:rsidR="00EB5F81" w:rsidRPr="009632C5" w:rsidRDefault="00EB5F81" w:rsidP="00EB5F81">
      <w:pPr>
        <w:suppressAutoHyphens/>
        <w:spacing w:before="240"/>
        <w:jc w:val="both"/>
        <w:rPr>
          <w:i/>
          <w:sz w:val="24"/>
          <w:szCs w:val="24"/>
        </w:rPr>
      </w:pPr>
      <w:r w:rsidRPr="009632C5">
        <w:rPr>
          <w:rFonts w:cs="Arial"/>
          <w:i/>
          <w:sz w:val="24"/>
          <w:szCs w:val="24"/>
          <w:lang w:eastAsia="es-ES"/>
        </w:rPr>
        <w:t>Breve descripción y v</w:t>
      </w:r>
      <w:r w:rsidRPr="009632C5">
        <w:rPr>
          <w:i/>
          <w:sz w:val="24"/>
          <w:szCs w:val="24"/>
        </w:rPr>
        <w:t xml:space="preserve">aloración del </w:t>
      </w:r>
      <w:r w:rsidRPr="009632C5">
        <w:rPr>
          <w:b/>
          <w:i/>
          <w:sz w:val="24"/>
          <w:szCs w:val="24"/>
        </w:rPr>
        <w:t>cumplimiento del proyecto inicial establecido en la memoria</w:t>
      </w:r>
      <w:r w:rsidR="004F2430" w:rsidRPr="004F2430">
        <w:rPr>
          <w:i/>
          <w:sz w:val="24"/>
          <w:szCs w:val="24"/>
        </w:rPr>
        <w:t>, incidiendo en especial en</w:t>
      </w:r>
      <w:r w:rsidRPr="009632C5">
        <w:rPr>
          <w:i/>
          <w:sz w:val="24"/>
          <w:szCs w:val="24"/>
        </w:rPr>
        <w:t xml:space="preserve">: </w:t>
      </w:r>
    </w:p>
    <w:p w:rsidR="00EB5F81" w:rsidRPr="009632C5" w:rsidRDefault="00EB5F81" w:rsidP="00EB5F81">
      <w:pPr>
        <w:numPr>
          <w:ilvl w:val="0"/>
          <w:numId w:val="4"/>
        </w:numPr>
        <w:tabs>
          <w:tab w:val="clear" w:pos="1764"/>
          <w:tab w:val="num" w:pos="-360"/>
        </w:tabs>
        <w:suppressAutoHyphens/>
        <w:spacing w:before="120" w:after="120" w:line="240" w:lineRule="auto"/>
        <w:ind w:left="360"/>
        <w:jc w:val="both"/>
        <w:rPr>
          <w:i/>
          <w:sz w:val="24"/>
          <w:szCs w:val="24"/>
        </w:rPr>
      </w:pPr>
      <w:r w:rsidRPr="009632C5">
        <w:rPr>
          <w:i/>
          <w:sz w:val="24"/>
          <w:szCs w:val="24"/>
        </w:rPr>
        <w:t xml:space="preserve">Si dicho </w:t>
      </w:r>
      <w:r w:rsidRPr="009632C5">
        <w:rPr>
          <w:b/>
          <w:i/>
          <w:sz w:val="24"/>
          <w:szCs w:val="24"/>
        </w:rPr>
        <w:t>proyecto se ha cumplido</w:t>
      </w:r>
      <w:r w:rsidRPr="009632C5">
        <w:rPr>
          <w:i/>
          <w:sz w:val="24"/>
          <w:szCs w:val="24"/>
        </w:rPr>
        <w:t xml:space="preserve"> y, en el caso de que haya habido alguna </w:t>
      </w:r>
      <w:r w:rsidRPr="009632C5">
        <w:rPr>
          <w:b/>
          <w:i/>
          <w:sz w:val="24"/>
          <w:szCs w:val="24"/>
        </w:rPr>
        <w:t>desviación</w:t>
      </w:r>
      <w:r w:rsidRPr="009632C5">
        <w:rPr>
          <w:i/>
          <w:sz w:val="24"/>
          <w:szCs w:val="24"/>
        </w:rPr>
        <w:t xml:space="preserve">, indicar las </w:t>
      </w:r>
      <w:r w:rsidRPr="009632C5">
        <w:rPr>
          <w:b/>
          <w:i/>
          <w:sz w:val="24"/>
          <w:szCs w:val="24"/>
        </w:rPr>
        <w:t>causas</w:t>
      </w:r>
      <w:r w:rsidRPr="009632C5">
        <w:rPr>
          <w:i/>
          <w:sz w:val="24"/>
          <w:szCs w:val="24"/>
        </w:rPr>
        <w:t xml:space="preserve"> por las que no se ha logrado cumplir todo lo establecido en la memoria.</w:t>
      </w:r>
    </w:p>
    <w:p w:rsidR="00EB5F81" w:rsidRPr="009632C5" w:rsidRDefault="00EB5F81" w:rsidP="00EB5F81">
      <w:pPr>
        <w:numPr>
          <w:ilvl w:val="0"/>
          <w:numId w:val="4"/>
        </w:numPr>
        <w:tabs>
          <w:tab w:val="clear" w:pos="1764"/>
          <w:tab w:val="num" w:pos="-360"/>
        </w:tabs>
        <w:suppressAutoHyphens/>
        <w:spacing w:before="120" w:after="120" w:line="240" w:lineRule="auto"/>
        <w:ind w:left="360"/>
        <w:jc w:val="both"/>
        <w:rPr>
          <w:i/>
          <w:sz w:val="24"/>
          <w:szCs w:val="24"/>
        </w:rPr>
      </w:pPr>
      <w:r w:rsidRPr="009632C5">
        <w:rPr>
          <w:i/>
          <w:sz w:val="24"/>
          <w:szCs w:val="24"/>
        </w:rPr>
        <w:t xml:space="preserve">Cuáles han sido las </w:t>
      </w:r>
      <w:r w:rsidRPr="009632C5">
        <w:rPr>
          <w:b/>
          <w:i/>
          <w:sz w:val="24"/>
          <w:szCs w:val="24"/>
        </w:rPr>
        <w:t>dificultades</w:t>
      </w:r>
      <w:r w:rsidRPr="009632C5">
        <w:rPr>
          <w:i/>
          <w:sz w:val="24"/>
          <w:szCs w:val="24"/>
        </w:rPr>
        <w:t xml:space="preserve"> encontradas en la puesta en marcha del título.</w:t>
      </w:r>
    </w:p>
    <w:p w:rsidR="00EB5F81" w:rsidRPr="005056CC" w:rsidRDefault="00EB5F81" w:rsidP="00EB5F81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spacing w:line="240" w:lineRule="auto"/>
        <w:ind w:left="284"/>
        <w:jc w:val="both"/>
        <w:rPr>
          <w:i/>
        </w:rPr>
      </w:pPr>
    </w:p>
    <w:p w:rsidR="00EB5F81" w:rsidRPr="005056CC" w:rsidRDefault="00EB5F81" w:rsidP="00EB5F81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uppressAutoHyphens/>
        <w:spacing w:line="240" w:lineRule="auto"/>
        <w:ind w:left="284"/>
        <w:jc w:val="both"/>
        <w:rPr>
          <w:i/>
        </w:rPr>
      </w:pPr>
    </w:p>
    <w:p w:rsidR="00EB5F81" w:rsidRDefault="00EB5F81">
      <w:pPr>
        <w:rPr>
          <w:rFonts w:cs="Arial"/>
          <w:color w:val="FF0000"/>
        </w:rPr>
      </w:pPr>
      <w:r>
        <w:rPr>
          <w:rFonts w:cs="Arial"/>
          <w:color w:val="FF0000"/>
        </w:rPr>
        <w:br w:type="page"/>
      </w:r>
    </w:p>
    <w:p w:rsidR="00EB5F81" w:rsidRPr="00EB5F81" w:rsidRDefault="00EB5F81" w:rsidP="005C2FA2">
      <w:pPr>
        <w:pStyle w:val="Prrafodelista"/>
        <w:spacing w:before="240" w:after="240" w:line="240" w:lineRule="auto"/>
        <w:ind w:left="360"/>
        <w:contextualSpacing w:val="0"/>
        <w:jc w:val="both"/>
        <w:rPr>
          <w:rFonts w:cs="Arial"/>
          <w:color w:val="FF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EB5F81" w:rsidRPr="00AC0A7B" w:rsidTr="00EB5F81">
        <w:trPr>
          <w:trHeight w:val="96"/>
        </w:trPr>
        <w:tc>
          <w:tcPr>
            <w:tcW w:w="9180" w:type="dxa"/>
            <w:shd w:val="clear" w:color="auto" w:fill="B8CCE4" w:themeFill="accent1" w:themeFillTint="66"/>
          </w:tcPr>
          <w:p w:rsidR="00EB5F81" w:rsidRPr="00EB5F81" w:rsidRDefault="00EB5F81" w:rsidP="00E40F35">
            <w:pPr>
              <w:spacing w:after="0"/>
              <w:jc w:val="both"/>
              <w:rPr>
                <w:rFonts w:ascii="Verdana" w:hAnsi="Verdana"/>
                <w:sz w:val="24"/>
                <w:szCs w:val="24"/>
              </w:rPr>
            </w:pPr>
            <w:r w:rsidRPr="00EB5F81">
              <w:rPr>
                <w:rFonts w:ascii="Verdana" w:hAnsi="Verdana"/>
                <w:b/>
                <w:bCs/>
                <w:sz w:val="23"/>
                <w:szCs w:val="23"/>
              </w:rPr>
              <w:t xml:space="preserve">1. </w:t>
            </w:r>
            <w:r w:rsidR="00E40F35">
              <w:rPr>
                <w:rFonts w:ascii="Verdana" w:hAnsi="Verdana"/>
                <w:b/>
                <w:bCs/>
                <w:sz w:val="23"/>
                <w:szCs w:val="23"/>
              </w:rPr>
              <w:t>Desarrollo del plan de estudios</w:t>
            </w:r>
            <w:r w:rsidRPr="00EB5F81">
              <w:rPr>
                <w:rFonts w:ascii="Verdana" w:hAnsi="Verdana"/>
                <w:b/>
                <w:bCs/>
                <w:sz w:val="23"/>
                <w:szCs w:val="23"/>
              </w:rPr>
              <w:t>.</w:t>
            </w:r>
          </w:p>
        </w:tc>
      </w:tr>
      <w:tr w:rsidR="00EB5F81" w:rsidRPr="00AC0A7B" w:rsidTr="00EB5F81">
        <w:trPr>
          <w:trHeight w:val="96"/>
        </w:trPr>
        <w:tc>
          <w:tcPr>
            <w:tcW w:w="9180" w:type="dxa"/>
          </w:tcPr>
          <w:p w:rsidR="00EB5F81" w:rsidRPr="00D53722" w:rsidRDefault="00EB5F81" w:rsidP="00EB5F81">
            <w:pPr>
              <w:spacing w:after="0"/>
              <w:ind w:left="357"/>
              <w:jc w:val="both"/>
            </w:pPr>
            <w:r w:rsidRPr="00D53722">
              <w:t>El desarrollo del plan de estudios, conforme a la memoria verificada, es adecuado, coherente y no se han producido incidencias graves, lo que ha permitido una correcta adquisición de las competencias por parte de los estudiantes.</w:t>
            </w:r>
          </w:p>
        </w:tc>
      </w:tr>
    </w:tbl>
    <w:p w:rsidR="005C2FA2" w:rsidRDefault="005C2FA2" w:rsidP="005C2FA2">
      <w:pPr>
        <w:jc w:val="both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EB5F81" w:rsidTr="00EB5F81">
        <w:trPr>
          <w:trHeight w:val="96"/>
        </w:trPr>
        <w:tc>
          <w:tcPr>
            <w:tcW w:w="9180" w:type="dxa"/>
          </w:tcPr>
          <w:p w:rsidR="00EB5F81" w:rsidRPr="00EB5F81" w:rsidRDefault="00EB5F81" w:rsidP="009632C5">
            <w:pPr>
              <w:pStyle w:val="Default"/>
              <w:numPr>
                <w:ilvl w:val="1"/>
                <w:numId w:val="27"/>
              </w:num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  <w:r w:rsidRPr="00EB5F81">
              <w:rPr>
                <w:b/>
                <w:sz w:val="20"/>
                <w:szCs w:val="20"/>
              </w:rPr>
              <w:t>Vigencia del interés académico, científico y profesional del título</w:t>
            </w:r>
          </w:p>
        </w:tc>
      </w:tr>
      <w:tr w:rsidR="00EB5F81" w:rsidRPr="00CF340F" w:rsidTr="00EB5F81">
        <w:trPr>
          <w:trHeight w:val="96"/>
        </w:trPr>
        <w:tc>
          <w:tcPr>
            <w:tcW w:w="9180" w:type="dxa"/>
          </w:tcPr>
          <w:p w:rsidR="00EB5F81" w:rsidRPr="00D53722" w:rsidRDefault="00EB5F81" w:rsidP="005E39F5">
            <w:pPr>
              <w:spacing w:after="0"/>
              <w:jc w:val="both"/>
            </w:pPr>
            <w:r w:rsidRPr="00D53722">
              <w:t>Estándares:</w:t>
            </w:r>
          </w:p>
          <w:p w:rsidR="00EB5F81" w:rsidRDefault="00EB5F81" w:rsidP="00EB5F81">
            <w:pPr>
              <w:pStyle w:val="Prrafodelista"/>
              <w:numPr>
                <w:ilvl w:val="0"/>
                <w:numId w:val="7"/>
              </w:numPr>
              <w:spacing w:after="0"/>
              <w:jc w:val="both"/>
            </w:pPr>
            <w:r w:rsidRPr="00D53722">
              <w:t>El perfil de competencias definido en el título (y su despliegue en el plan de estudios) mantiene su relevancia dentro del ámbito disciplinario (académico, científico o profesional).</w:t>
            </w:r>
          </w:p>
          <w:p w:rsidR="00EB5F81" w:rsidRDefault="005E39F5" w:rsidP="005E39F5">
            <w:pPr>
              <w:pStyle w:val="Prrafodelista"/>
              <w:numPr>
                <w:ilvl w:val="0"/>
                <w:numId w:val="7"/>
              </w:numPr>
              <w:spacing w:after="0"/>
              <w:jc w:val="both"/>
            </w:pPr>
            <w:r w:rsidRPr="00D53722">
              <w:t>El perfil formativo del título se adecúa a las necesidades socioeconómicas y, en su caso, a las necesidades y requisitos de la profesión regulada.</w:t>
            </w:r>
          </w:p>
          <w:p w:rsidR="005E39F5" w:rsidRPr="005E39F5" w:rsidRDefault="005E39F5" w:rsidP="005E39F5">
            <w:pPr>
              <w:pStyle w:val="Prrafodelista"/>
              <w:spacing w:after="0"/>
              <w:ind w:left="360"/>
              <w:jc w:val="both"/>
            </w:pPr>
          </w:p>
        </w:tc>
      </w:tr>
      <w:tr w:rsidR="00EB5F81" w:rsidRPr="00CF340F" w:rsidTr="00EB5F81">
        <w:trPr>
          <w:trHeight w:val="96"/>
        </w:trPr>
        <w:tc>
          <w:tcPr>
            <w:tcW w:w="9180" w:type="dxa"/>
          </w:tcPr>
          <w:p w:rsidR="00EB5F81" w:rsidRPr="00446B37" w:rsidRDefault="00EB5F81" w:rsidP="00EB5F81">
            <w:pPr>
              <w:pStyle w:val="Default"/>
              <w:jc w:val="both"/>
              <w:rPr>
                <w:rFonts w:asciiTheme="minorHAnsi" w:hAnsiTheme="minorHAnsi"/>
                <w:i/>
              </w:rPr>
            </w:pPr>
            <w:r w:rsidRPr="00446B37">
              <w:rPr>
                <w:rFonts w:asciiTheme="minorHAnsi" w:hAnsiTheme="minorHAnsi"/>
                <w:i/>
              </w:rPr>
              <w:t>Breve descripción y valoración del cumplimento de los estándares:</w:t>
            </w:r>
          </w:p>
          <w:p w:rsidR="00EB5F81" w:rsidRDefault="00EB5F81" w:rsidP="00EB5F81">
            <w:pPr>
              <w:pStyle w:val="Default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4F2430" w:rsidRPr="004F2430" w:rsidRDefault="004F2430" w:rsidP="00EB5F81">
            <w:pPr>
              <w:pStyle w:val="Default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EB5F81" w:rsidRPr="004F2430" w:rsidRDefault="004F2430" w:rsidP="00EB5F81">
            <w:pPr>
              <w:pStyle w:val="Default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4F2430">
              <w:rPr>
                <w:rFonts w:asciiTheme="minorHAnsi" w:hAnsiTheme="minorHAnsi"/>
                <w:i/>
                <w:sz w:val="22"/>
                <w:szCs w:val="22"/>
              </w:rPr>
              <w:t>Listado de evidencias:</w:t>
            </w:r>
          </w:p>
          <w:p w:rsidR="00EB5F81" w:rsidRDefault="00EB5F81" w:rsidP="00EB5F81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EB5F81" w:rsidRPr="00CF340F" w:rsidTr="00EB5F81">
        <w:trPr>
          <w:trHeight w:val="96"/>
        </w:trPr>
        <w:tc>
          <w:tcPr>
            <w:tcW w:w="9180" w:type="dxa"/>
          </w:tcPr>
          <w:p w:rsidR="00EB5F81" w:rsidRPr="00446B37" w:rsidRDefault="00EB5F81" w:rsidP="009632C5">
            <w:pPr>
              <w:pStyle w:val="Default"/>
              <w:spacing w:before="120" w:after="120"/>
              <w:ind w:left="720" w:hanging="720"/>
              <w:jc w:val="both"/>
              <w:rPr>
                <w:rFonts w:asciiTheme="minorHAnsi" w:hAnsiTheme="minorHAnsi"/>
                <w:i/>
              </w:rPr>
            </w:pPr>
            <w:r>
              <w:rPr>
                <w:b/>
                <w:sz w:val="20"/>
                <w:szCs w:val="20"/>
              </w:rPr>
              <w:t>1.2. Organización y gestión académica del programa formativo</w:t>
            </w:r>
          </w:p>
        </w:tc>
      </w:tr>
      <w:tr w:rsidR="00EB5F81" w:rsidRPr="00CF340F" w:rsidTr="00EB5F81">
        <w:trPr>
          <w:trHeight w:val="96"/>
        </w:trPr>
        <w:tc>
          <w:tcPr>
            <w:tcW w:w="9180" w:type="dxa"/>
          </w:tcPr>
          <w:p w:rsidR="00EB5F81" w:rsidRPr="00D53722" w:rsidRDefault="002B4BC4" w:rsidP="002B4BC4">
            <w:pPr>
              <w:pStyle w:val="Prrafodelista"/>
              <w:tabs>
                <w:tab w:val="left" w:pos="993"/>
              </w:tabs>
              <w:spacing w:before="240"/>
              <w:ind w:left="289"/>
              <w:jc w:val="both"/>
            </w:pPr>
            <w:r w:rsidRPr="002B4BC4">
              <w:t xml:space="preserve">a) </w:t>
            </w:r>
            <w:r w:rsidR="00EB5F81" w:rsidRPr="00D53722">
              <w:rPr>
                <w:u w:val="single"/>
              </w:rPr>
              <w:t>Procesos de acceso y admisión</w:t>
            </w:r>
            <w:r w:rsidR="00EB5F81" w:rsidRPr="002B4BC4">
              <w:t>.</w:t>
            </w:r>
            <w:r w:rsidR="00EB5F81" w:rsidRPr="00D53722">
              <w:t xml:space="preserve"> Estándares:</w:t>
            </w:r>
          </w:p>
          <w:p w:rsidR="00EB5F81" w:rsidRPr="00D53722" w:rsidRDefault="00EB5F81" w:rsidP="00EB5F81">
            <w:pPr>
              <w:pStyle w:val="Prrafodelista"/>
              <w:numPr>
                <w:ilvl w:val="0"/>
                <w:numId w:val="8"/>
              </w:numPr>
              <w:jc w:val="both"/>
            </w:pPr>
            <w:r w:rsidRPr="00D53722">
              <w:t>Los criterios de admisión permiten que los estudiantes tengan el perfil de ingreso adecuado para iniciar los estudios y en su aplicación se respeta el número de plazas ofertadas en la memoria verificada.</w:t>
            </w:r>
          </w:p>
          <w:p w:rsidR="00EB5F81" w:rsidRPr="00EB5F81" w:rsidRDefault="00EB5F81" w:rsidP="00EB5F81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53722">
              <w:t>Los complementos de formación cumplen su función en cuanto a la adquisición de competencias y conocimientos por parte de los estudiantes de las diferentes disciplinas de entrada.</w:t>
            </w:r>
          </w:p>
        </w:tc>
      </w:tr>
      <w:tr w:rsidR="00EB5F81" w:rsidRPr="00CF340F" w:rsidTr="00EB5F81">
        <w:trPr>
          <w:trHeight w:val="96"/>
        </w:trPr>
        <w:tc>
          <w:tcPr>
            <w:tcW w:w="9180" w:type="dxa"/>
          </w:tcPr>
          <w:p w:rsidR="00EB5F81" w:rsidRPr="00D53722" w:rsidRDefault="00EB5F81" w:rsidP="00EB5F81">
            <w:pPr>
              <w:pStyle w:val="Default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D53722">
              <w:rPr>
                <w:rFonts w:asciiTheme="minorHAnsi" w:hAnsiTheme="minorHAnsi"/>
                <w:i/>
                <w:sz w:val="22"/>
                <w:szCs w:val="22"/>
              </w:rPr>
              <w:t>Breve descripción y valoración del cumplimento de los estándares:</w:t>
            </w:r>
          </w:p>
          <w:p w:rsidR="00EB5F81" w:rsidRDefault="00EB5F81" w:rsidP="00EB5F8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F2430" w:rsidRPr="00D53722" w:rsidRDefault="004F2430" w:rsidP="00EB5F8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F2430" w:rsidRPr="004F2430" w:rsidRDefault="004F2430" w:rsidP="004F2430">
            <w:pPr>
              <w:pStyle w:val="Default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4F2430">
              <w:rPr>
                <w:rFonts w:asciiTheme="minorHAnsi" w:hAnsiTheme="minorHAnsi"/>
                <w:i/>
                <w:sz w:val="22"/>
                <w:szCs w:val="22"/>
              </w:rPr>
              <w:t>Listado de evidencias:</w:t>
            </w:r>
          </w:p>
          <w:p w:rsidR="00EB5F81" w:rsidRDefault="00EB5F81" w:rsidP="00EB5F81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EB5F81" w:rsidRPr="00D53722" w:rsidTr="00EB5F81">
        <w:trPr>
          <w:trHeight w:val="96"/>
        </w:trPr>
        <w:tc>
          <w:tcPr>
            <w:tcW w:w="9180" w:type="dxa"/>
          </w:tcPr>
          <w:p w:rsidR="009632C5" w:rsidRPr="002B4BC4" w:rsidRDefault="009632C5" w:rsidP="002B4BC4">
            <w:pPr>
              <w:pStyle w:val="Prrafodelista"/>
              <w:numPr>
                <w:ilvl w:val="0"/>
                <w:numId w:val="33"/>
              </w:numPr>
              <w:tabs>
                <w:tab w:val="left" w:pos="993"/>
              </w:tabs>
              <w:spacing w:before="240"/>
              <w:ind w:left="714" w:hanging="357"/>
              <w:jc w:val="both"/>
              <w:rPr>
                <w:u w:val="single"/>
              </w:rPr>
            </w:pPr>
            <w:r w:rsidRPr="002B4BC4">
              <w:rPr>
                <w:u w:val="single"/>
              </w:rPr>
              <w:t>Normativas de permanencia y de transferencia y reconocimiento de créditos</w:t>
            </w:r>
            <w:r w:rsidRPr="002B4BC4">
              <w:t>.</w:t>
            </w:r>
            <w:r w:rsidRPr="00D53722">
              <w:t xml:space="preserve"> Estándares:</w:t>
            </w:r>
          </w:p>
          <w:p w:rsidR="009632C5" w:rsidRPr="00D53722" w:rsidRDefault="009632C5" w:rsidP="009632C5">
            <w:pPr>
              <w:pStyle w:val="Prrafodelista"/>
              <w:numPr>
                <w:ilvl w:val="0"/>
                <w:numId w:val="9"/>
              </w:numPr>
              <w:jc w:val="both"/>
            </w:pPr>
            <w:r w:rsidRPr="00D53722">
              <w:t>Las normativas de permanencia establecidas por la Universidad se han aplicado correctamente en el título.</w:t>
            </w:r>
          </w:p>
          <w:p w:rsidR="00EB5F81" w:rsidRPr="00D53722" w:rsidRDefault="009632C5" w:rsidP="009632C5">
            <w:pPr>
              <w:pStyle w:val="Prrafodelista"/>
              <w:numPr>
                <w:ilvl w:val="0"/>
                <w:numId w:val="9"/>
              </w:numPr>
              <w:jc w:val="both"/>
            </w:pPr>
            <w:r w:rsidRPr="00D53722">
              <w:t>Los sistemas de transferencia y reconocimiento de créditos se han aplicado de forma adecuada teniendo en cuenta las competencias previamente adquiridas por los estudiantes y las competencias a adquirir en el título.</w:t>
            </w:r>
          </w:p>
        </w:tc>
      </w:tr>
      <w:tr w:rsidR="009632C5" w:rsidRPr="00D53722" w:rsidTr="009632C5">
        <w:trPr>
          <w:trHeight w:val="96"/>
        </w:trPr>
        <w:tc>
          <w:tcPr>
            <w:tcW w:w="9180" w:type="dxa"/>
          </w:tcPr>
          <w:p w:rsidR="009632C5" w:rsidRPr="00D53722" w:rsidRDefault="009632C5" w:rsidP="009632C5">
            <w:pPr>
              <w:pStyle w:val="Default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D53722">
              <w:rPr>
                <w:rFonts w:asciiTheme="minorHAnsi" w:hAnsiTheme="minorHAnsi"/>
                <w:i/>
                <w:sz w:val="22"/>
                <w:szCs w:val="22"/>
              </w:rPr>
              <w:t>Breve descripción y valoración del cumplimento de los estándares:</w:t>
            </w:r>
          </w:p>
          <w:p w:rsidR="009632C5" w:rsidRDefault="009632C5" w:rsidP="009632C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F2430" w:rsidRPr="00D53722" w:rsidRDefault="004F2430" w:rsidP="009632C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F2430" w:rsidRPr="004F2430" w:rsidRDefault="004F2430" w:rsidP="004F2430">
            <w:pPr>
              <w:pStyle w:val="Default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4F2430">
              <w:rPr>
                <w:rFonts w:asciiTheme="minorHAnsi" w:hAnsiTheme="minorHAnsi"/>
                <w:i/>
                <w:sz w:val="22"/>
                <w:szCs w:val="22"/>
              </w:rPr>
              <w:t>Listado de evidencias:</w:t>
            </w:r>
          </w:p>
          <w:p w:rsidR="009632C5" w:rsidRPr="00D53722" w:rsidRDefault="009632C5" w:rsidP="009632C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32C5" w:rsidRPr="00D53722" w:rsidTr="00EB5F81">
        <w:trPr>
          <w:trHeight w:val="96"/>
        </w:trPr>
        <w:tc>
          <w:tcPr>
            <w:tcW w:w="9180" w:type="dxa"/>
          </w:tcPr>
          <w:p w:rsidR="009632C5" w:rsidRPr="00D53722" w:rsidRDefault="009632C5" w:rsidP="002B4BC4">
            <w:pPr>
              <w:pStyle w:val="Prrafodelista"/>
              <w:numPr>
                <w:ilvl w:val="0"/>
                <w:numId w:val="32"/>
              </w:numPr>
              <w:tabs>
                <w:tab w:val="left" w:pos="993"/>
              </w:tabs>
              <w:spacing w:before="240"/>
              <w:ind w:left="646" w:hanging="357"/>
              <w:jc w:val="both"/>
              <w:rPr>
                <w:u w:val="single"/>
              </w:rPr>
            </w:pPr>
            <w:r w:rsidRPr="00D53722">
              <w:rPr>
                <w:u w:val="single"/>
              </w:rPr>
              <w:lastRenderedPageBreak/>
              <w:t>Planificación docente.</w:t>
            </w:r>
            <w:r w:rsidRPr="00D53722">
              <w:t xml:space="preserve"> Estándares:</w:t>
            </w:r>
          </w:p>
          <w:p w:rsidR="009632C5" w:rsidRPr="00D53722" w:rsidRDefault="009632C5" w:rsidP="009632C5">
            <w:pPr>
              <w:pStyle w:val="Prrafodelista"/>
              <w:numPr>
                <w:ilvl w:val="0"/>
                <w:numId w:val="10"/>
              </w:numPr>
              <w:jc w:val="both"/>
            </w:pPr>
            <w:r w:rsidRPr="00D53722">
              <w:t>La oferta de módulos, materias y/o asignaturas se ha desarrollado conforme a lo previsto en la memoria verificada.</w:t>
            </w:r>
          </w:p>
          <w:p w:rsidR="009632C5" w:rsidRPr="00D53722" w:rsidRDefault="009632C5" w:rsidP="002B4BC4">
            <w:pPr>
              <w:pStyle w:val="Prrafodelista"/>
              <w:numPr>
                <w:ilvl w:val="0"/>
                <w:numId w:val="10"/>
              </w:numPr>
              <w:ind w:left="357" w:hanging="357"/>
              <w:jc w:val="both"/>
            </w:pPr>
            <w:r w:rsidRPr="00D53722">
              <w:t>Los contenidos de las guías docentes, así como otros recursos para el aprendizaje son adecuados, accesibles para el estudiante y están disponibles previamente a la matriculación para todas las asignaturas, incluidas las prácticas externas y los trabajos de fin de grado o máster.</w:t>
            </w:r>
          </w:p>
        </w:tc>
      </w:tr>
      <w:tr w:rsidR="009632C5" w:rsidRPr="00D53722" w:rsidTr="009632C5">
        <w:trPr>
          <w:trHeight w:val="96"/>
        </w:trPr>
        <w:tc>
          <w:tcPr>
            <w:tcW w:w="9180" w:type="dxa"/>
          </w:tcPr>
          <w:p w:rsidR="009632C5" w:rsidRPr="00D53722" w:rsidRDefault="009632C5" w:rsidP="009632C5">
            <w:pPr>
              <w:pStyle w:val="Default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D53722">
              <w:rPr>
                <w:rFonts w:asciiTheme="minorHAnsi" w:hAnsiTheme="minorHAnsi"/>
                <w:i/>
                <w:sz w:val="22"/>
                <w:szCs w:val="22"/>
              </w:rPr>
              <w:t>Breve descripción y valoración del cumplimento de los estándares:</w:t>
            </w:r>
          </w:p>
          <w:p w:rsidR="009632C5" w:rsidRDefault="009632C5" w:rsidP="009632C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F2430" w:rsidRPr="00D53722" w:rsidRDefault="004F2430" w:rsidP="009632C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F2430" w:rsidRPr="004F2430" w:rsidRDefault="004F2430" w:rsidP="004F2430">
            <w:pPr>
              <w:pStyle w:val="Default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4F2430">
              <w:rPr>
                <w:rFonts w:asciiTheme="minorHAnsi" w:hAnsiTheme="minorHAnsi"/>
                <w:i/>
                <w:sz w:val="22"/>
                <w:szCs w:val="22"/>
              </w:rPr>
              <w:t>Listado de evidencias:</w:t>
            </w:r>
          </w:p>
          <w:p w:rsidR="009632C5" w:rsidRPr="00D53722" w:rsidRDefault="009632C5" w:rsidP="009632C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32C5" w:rsidRPr="00D53722" w:rsidTr="00EB5F81">
        <w:trPr>
          <w:trHeight w:val="96"/>
        </w:trPr>
        <w:tc>
          <w:tcPr>
            <w:tcW w:w="9180" w:type="dxa"/>
          </w:tcPr>
          <w:p w:rsidR="009632C5" w:rsidRPr="00D53722" w:rsidRDefault="009632C5" w:rsidP="002B4BC4">
            <w:pPr>
              <w:pStyle w:val="Prrafodelista"/>
              <w:numPr>
                <w:ilvl w:val="0"/>
                <w:numId w:val="32"/>
              </w:numPr>
              <w:tabs>
                <w:tab w:val="left" w:pos="993"/>
              </w:tabs>
              <w:spacing w:before="240"/>
              <w:ind w:left="646" w:hanging="357"/>
              <w:jc w:val="both"/>
              <w:rPr>
                <w:u w:val="single"/>
              </w:rPr>
            </w:pPr>
            <w:r w:rsidRPr="00D53722">
              <w:rPr>
                <w:u w:val="single"/>
              </w:rPr>
              <w:t>Coordinación docente.</w:t>
            </w:r>
            <w:r w:rsidRPr="00D53722">
              <w:t xml:space="preserve"> Estándares:</w:t>
            </w:r>
          </w:p>
          <w:p w:rsidR="009632C5" w:rsidRPr="00D53722" w:rsidRDefault="009632C5" w:rsidP="009632C5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D53722">
              <w:t>La coordinación horizontal y vertical entre las diferentes materias/asignaturas ha sido apropiada, y ha garantizado tanto una adecuada asignación de carga de trabajo al estudiante como una adecuada planificación temporal.</w:t>
            </w:r>
          </w:p>
          <w:p w:rsidR="009632C5" w:rsidRPr="00D53722" w:rsidRDefault="009632C5" w:rsidP="009632C5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D53722">
              <w:t>Se ha garantizado la adecuada coordinación entre las actividades formativas de carácter práctico (laboratorios, estudios de caso, etc.) y las relacionadas con la formación teórica.</w:t>
            </w:r>
          </w:p>
          <w:p w:rsidR="009632C5" w:rsidRPr="00D53722" w:rsidRDefault="009632C5" w:rsidP="009632C5">
            <w:pPr>
              <w:pStyle w:val="Prrafodelista"/>
              <w:numPr>
                <w:ilvl w:val="0"/>
                <w:numId w:val="11"/>
              </w:numPr>
              <w:jc w:val="both"/>
            </w:pPr>
            <w:r w:rsidRPr="00D53722">
              <w:t>En el caso de que el título se imparta en varios centros de la Universidad o sea interuniversitario, han existido mecanismos de coordinación entre todos los centros que imparten el plan de estudios.</w:t>
            </w:r>
          </w:p>
          <w:p w:rsidR="009632C5" w:rsidRPr="00D53722" w:rsidRDefault="009632C5" w:rsidP="002B4BC4">
            <w:pPr>
              <w:pStyle w:val="Prrafodelista"/>
              <w:numPr>
                <w:ilvl w:val="0"/>
                <w:numId w:val="11"/>
              </w:numPr>
              <w:ind w:left="357" w:hanging="357"/>
              <w:jc w:val="both"/>
            </w:pPr>
            <w:r w:rsidRPr="00D53722">
              <w:t>En el caso de que existan prácticas externas, se ha garantizado la coordinación y supervisión necesaria para que las prácticas permitan a los estudiantes adquirir las competencias correspondientes.</w:t>
            </w:r>
          </w:p>
        </w:tc>
      </w:tr>
      <w:tr w:rsidR="001C26AF" w:rsidRPr="00D53722" w:rsidTr="00E57306">
        <w:trPr>
          <w:trHeight w:val="96"/>
        </w:trPr>
        <w:tc>
          <w:tcPr>
            <w:tcW w:w="9180" w:type="dxa"/>
          </w:tcPr>
          <w:p w:rsidR="001C26AF" w:rsidRPr="00D53722" w:rsidRDefault="001C26AF" w:rsidP="00E57306">
            <w:pPr>
              <w:pStyle w:val="Default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D53722">
              <w:rPr>
                <w:rFonts w:asciiTheme="minorHAnsi" w:hAnsiTheme="minorHAnsi"/>
                <w:i/>
                <w:sz w:val="22"/>
                <w:szCs w:val="22"/>
              </w:rPr>
              <w:t>Breve descripción y valoración del cumplimento de los estándares:</w:t>
            </w:r>
          </w:p>
          <w:p w:rsidR="001C26AF" w:rsidRDefault="001C26AF" w:rsidP="00E5730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F2430" w:rsidRPr="00D53722" w:rsidRDefault="004F2430" w:rsidP="00E5730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C26AF" w:rsidRPr="004F2430" w:rsidRDefault="004F2430" w:rsidP="00E57306">
            <w:pPr>
              <w:pStyle w:val="Default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4F2430">
              <w:rPr>
                <w:rFonts w:asciiTheme="minorHAnsi" w:hAnsiTheme="minorHAnsi"/>
                <w:i/>
                <w:sz w:val="22"/>
                <w:szCs w:val="22"/>
              </w:rPr>
              <w:t>Listado de evidencias:</w:t>
            </w:r>
          </w:p>
          <w:p w:rsidR="001C26AF" w:rsidRPr="00D53722" w:rsidRDefault="001C26AF" w:rsidP="00E5730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32C5" w:rsidRPr="00D53722" w:rsidTr="00EB5F81">
        <w:trPr>
          <w:trHeight w:val="96"/>
        </w:trPr>
        <w:tc>
          <w:tcPr>
            <w:tcW w:w="9180" w:type="dxa"/>
          </w:tcPr>
          <w:p w:rsidR="009632C5" w:rsidRPr="00D53722" w:rsidRDefault="009632C5" w:rsidP="002B4BC4">
            <w:pPr>
              <w:pStyle w:val="Prrafodelista"/>
              <w:numPr>
                <w:ilvl w:val="0"/>
                <w:numId w:val="32"/>
              </w:numPr>
              <w:tabs>
                <w:tab w:val="left" w:pos="993"/>
              </w:tabs>
              <w:spacing w:before="240"/>
              <w:ind w:left="646" w:hanging="357"/>
              <w:jc w:val="both"/>
              <w:rPr>
                <w:u w:val="single"/>
              </w:rPr>
            </w:pPr>
            <w:r w:rsidRPr="00D53722">
              <w:rPr>
                <w:u w:val="single"/>
              </w:rPr>
              <w:t>Curso de adaptación al Grado.</w:t>
            </w:r>
            <w:r w:rsidRPr="00D53722">
              <w:t xml:space="preserve"> Estándar:</w:t>
            </w:r>
          </w:p>
          <w:p w:rsidR="009632C5" w:rsidRPr="00D53722" w:rsidRDefault="009632C5" w:rsidP="002B4BC4">
            <w:pPr>
              <w:pStyle w:val="Prrafodelista"/>
              <w:numPr>
                <w:ilvl w:val="0"/>
                <w:numId w:val="11"/>
              </w:numPr>
              <w:ind w:left="357" w:hanging="357"/>
              <w:jc w:val="both"/>
              <w:rPr>
                <w:u w:val="single"/>
              </w:rPr>
            </w:pPr>
            <w:r w:rsidRPr="00D53722">
              <w:t>La implantación del Curso de adaptación al Grado se ha desarrollado conforme a lo establecido en la memoria de verificación.</w:t>
            </w:r>
          </w:p>
        </w:tc>
      </w:tr>
      <w:tr w:rsidR="009632C5" w:rsidRPr="00D53722" w:rsidTr="009632C5">
        <w:trPr>
          <w:trHeight w:val="96"/>
        </w:trPr>
        <w:tc>
          <w:tcPr>
            <w:tcW w:w="9180" w:type="dxa"/>
          </w:tcPr>
          <w:p w:rsidR="009632C5" w:rsidRPr="00D53722" w:rsidRDefault="009632C5" w:rsidP="009632C5">
            <w:pPr>
              <w:pStyle w:val="Default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D53722">
              <w:rPr>
                <w:rFonts w:asciiTheme="minorHAnsi" w:hAnsiTheme="minorHAnsi"/>
                <w:i/>
                <w:sz w:val="22"/>
                <w:szCs w:val="22"/>
              </w:rPr>
              <w:t>Breve descripción y valoración del cumplimento del estándar:</w:t>
            </w:r>
          </w:p>
          <w:p w:rsidR="009632C5" w:rsidRDefault="009632C5" w:rsidP="009632C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632C5" w:rsidRPr="00D53722" w:rsidRDefault="004F2430" w:rsidP="009632C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F2430">
              <w:rPr>
                <w:rFonts w:asciiTheme="minorHAnsi" w:hAnsiTheme="minorHAnsi"/>
                <w:i/>
                <w:sz w:val="22"/>
                <w:szCs w:val="22"/>
              </w:rPr>
              <w:t>Listado de evidencias:</w:t>
            </w:r>
          </w:p>
          <w:p w:rsidR="002B4BC4" w:rsidRPr="00D53722" w:rsidRDefault="002B4BC4" w:rsidP="009632C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632C5" w:rsidRPr="00D53722" w:rsidTr="00EB5F81">
        <w:trPr>
          <w:trHeight w:val="96"/>
        </w:trPr>
        <w:tc>
          <w:tcPr>
            <w:tcW w:w="9180" w:type="dxa"/>
          </w:tcPr>
          <w:p w:rsidR="009632C5" w:rsidRPr="00D53722" w:rsidRDefault="009632C5" w:rsidP="002B4BC4">
            <w:pPr>
              <w:pStyle w:val="Prrafodelista"/>
              <w:numPr>
                <w:ilvl w:val="0"/>
                <w:numId w:val="32"/>
              </w:numPr>
              <w:tabs>
                <w:tab w:val="left" w:pos="993"/>
              </w:tabs>
              <w:spacing w:before="240"/>
              <w:ind w:left="646" w:hanging="357"/>
              <w:jc w:val="both"/>
              <w:rPr>
                <w:u w:val="single"/>
              </w:rPr>
            </w:pPr>
            <w:r w:rsidRPr="00D53722">
              <w:rPr>
                <w:u w:val="single"/>
              </w:rPr>
              <w:lastRenderedPageBreak/>
              <w:t>Criterios de extinción.</w:t>
            </w:r>
            <w:r w:rsidRPr="00D53722">
              <w:t xml:space="preserve"> Estándar:</w:t>
            </w:r>
          </w:p>
          <w:p w:rsidR="009632C5" w:rsidRPr="00D53722" w:rsidRDefault="009632C5" w:rsidP="002B4BC4">
            <w:pPr>
              <w:pStyle w:val="Prrafodelista"/>
              <w:numPr>
                <w:ilvl w:val="0"/>
                <w:numId w:val="11"/>
              </w:numPr>
              <w:ind w:left="357" w:hanging="357"/>
              <w:jc w:val="both"/>
            </w:pPr>
            <w:r w:rsidRPr="00D53722">
              <w:t>En su caso, se han garantizado los derechos de los estudiantes afectados por la extinción del título en que se matricularon y se les ha proporcionado la información necesaria.</w:t>
            </w:r>
          </w:p>
        </w:tc>
      </w:tr>
      <w:tr w:rsidR="009632C5" w:rsidRPr="00D53722" w:rsidTr="009632C5">
        <w:trPr>
          <w:trHeight w:val="96"/>
        </w:trPr>
        <w:tc>
          <w:tcPr>
            <w:tcW w:w="9180" w:type="dxa"/>
          </w:tcPr>
          <w:p w:rsidR="009632C5" w:rsidRPr="00D53722" w:rsidRDefault="009632C5" w:rsidP="009632C5">
            <w:pPr>
              <w:pStyle w:val="Default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D53722">
              <w:rPr>
                <w:rFonts w:asciiTheme="minorHAnsi" w:hAnsiTheme="minorHAnsi"/>
                <w:i/>
                <w:sz w:val="22"/>
                <w:szCs w:val="22"/>
              </w:rPr>
              <w:t>Breve descripción y valoración del cumplimento del estándar:</w:t>
            </w:r>
          </w:p>
          <w:p w:rsidR="009632C5" w:rsidRDefault="009632C5" w:rsidP="009632C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F2430" w:rsidRPr="00D53722" w:rsidRDefault="004F2430" w:rsidP="009632C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632C5" w:rsidRPr="004F2430" w:rsidRDefault="004F2430" w:rsidP="009632C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F2430">
              <w:rPr>
                <w:rFonts w:asciiTheme="minorHAnsi" w:hAnsiTheme="minorHAnsi"/>
                <w:i/>
                <w:sz w:val="22"/>
                <w:szCs w:val="22"/>
              </w:rPr>
              <w:t>Listado de evidencias:</w:t>
            </w:r>
          </w:p>
          <w:p w:rsidR="009632C5" w:rsidRPr="00D53722" w:rsidRDefault="009632C5" w:rsidP="009632C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F2430" w:rsidRPr="00D53722" w:rsidTr="009632C5">
        <w:trPr>
          <w:trHeight w:val="96"/>
        </w:trPr>
        <w:tc>
          <w:tcPr>
            <w:tcW w:w="9180" w:type="dxa"/>
          </w:tcPr>
          <w:p w:rsidR="004F2430" w:rsidRDefault="004F2430" w:rsidP="009632C5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4F2430">
              <w:rPr>
                <w:rFonts w:asciiTheme="minorHAnsi" w:hAnsiTheme="minorHAnsi"/>
                <w:b/>
                <w:sz w:val="22"/>
                <w:szCs w:val="22"/>
              </w:rPr>
              <w:t xml:space="preserve">Pautas para la evaluación del </w:t>
            </w:r>
            <w:proofErr w:type="spellStart"/>
            <w:r w:rsidRPr="004F2430">
              <w:rPr>
                <w:rFonts w:asciiTheme="minorHAnsi" w:hAnsiTheme="minorHAnsi"/>
                <w:b/>
                <w:sz w:val="22"/>
                <w:szCs w:val="22"/>
              </w:rPr>
              <w:t>subcriterio</w:t>
            </w:r>
            <w:proofErr w:type="spellEnd"/>
            <w:r w:rsidRPr="004F2430">
              <w:rPr>
                <w:rFonts w:asciiTheme="minorHAnsi" w:hAnsiTheme="minorHAnsi"/>
                <w:b/>
                <w:sz w:val="22"/>
                <w:szCs w:val="22"/>
              </w:rPr>
              <w:t xml:space="preserve"> 1.2. Organización y gestión académica del programa formativo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4F2430" w:rsidRDefault="004F2430" w:rsidP="009632C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F2430" w:rsidRDefault="004F2430" w:rsidP="009632C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F2430">
              <w:rPr>
                <w:rFonts w:asciiTheme="minorHAnsi" w:hAnsiTheme="minorHAnsi"/>
                <w:sz w:val="22"/>
                <w:szCs w:val="22"/>
              </w:rPr>
              <w:t xml:space="preserve">Para la valoración de este </w:t>
            </w:r>
            <w:proofErr w:type="spellStart"/>
            <w:r w:rsidRPr="004F2430">
              <w:rPr>
                <w:rFonts w:asciiTheme="minorHAnsi" w:hAnsiTheme="minorHAnsi"/>
                <w:sz w:val="22"/>
                <w:szCs w:val="22"/>
              </w:rPr>
              <w:t>subcriterio</w:t>
            </w:r>
            <w:proofErr w:type="spellEnd"/>
            <w:r w:rsidRPr="004F2430">
              <w:rPr>
                <w:rFonts w:asciiTheme="minorHAnsi" w:hAnsiTheme="minorHAnsi"/>
                <w:sz w:val="22"/>
                <w:szCs w:val="22"/>
              </w:rPr>
              <w:t>, se aportarán los siguientes listados:</w:t>
            </w:r>
          </w:p>
          <w:p w:rsidR="004F2430" w:rsidRDefault="004F2430" w:rsidP="004F2430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Listado de estudiantes en cuyo expediente se haya realizado reconocimiento de créditos.</w:t>
            </w:r>
          </w:p>
          <w:p w:rsidR="004F2430" w:rsidRPr="004F2430" w:rsidRDefault="004F2430" w:rsidP="004F2430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Listado de estudiantes que han realizado el Curso de Adaptación al Grado.</w:t>
            </w:r>
          </w:p>
          <w:p w:rsidR="004F2430" w:rsidRDefault="004F2430" w:rsidP="004F2430">
            <w:pPr>
              <w:pStyle w:val="Default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4F2430" w:rsidRDefault="004F2430" w:rsidP="004F243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lo largo del proceso, los órganos de evaluación podrán solicitar el acceso a una selección de dichos expedientes.</w:t>
            </w:r>
          </w:p>
          <w:p w:rsidR="004F2430" w:rsidRPr="00D53722" w:rsidRDefault="004F2430" w:rsidP="004F2430">
            <w:pPr>
              <w:pStyle w:val="Default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:rsidR="001C26AF" w:rsidRDefault="001C26AF">
      <w:pPr>
        <w:rPr>
          <w:i/>
          <w:strike/>
        </w:rPr>
      </w:pPr>
      <w:r w:rsidRPr="00D53722">
        <w:rPr>
          <w:i/>
          <w:strike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C26AF" w:rsidRPr="00AC0A7B" w:rsidTr="00E57306">
        <w:trPr>
          <w:trHeight w:val="96"/>
        </w:trPr>
        <w:tc>
          <w:tcPr>
            <w:tcW w:w="9180" w:type="dxa"/>
            <w:shd w:val="clear" w:color="auto" w:fill="B8CCE4" w:themeFill="accent1" w:themeFillTint="66"/>
          </w:tcPr>
          <w:p w:rsidR="001C26AF" w:rsidRPr="00EB5F81" w:rsidRDefault="001C26AF" w:rsidP="001C26AF">
            <w:pPr>
              <w:spacing w:after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3"/>
                <w:szCs w:val="23"/>
              </w:rPr>
              <w:lastRenderedPageBreak/>
              <w:t>2</w:t>
            </w:r>
            <w:r w:rsidRPr="00EB5F81">
              <w:rPr>
                <w:rFonts w:ascii="Verdana" w:hAnsi="Verdana"/>
                <w:b/>
                <w:bCs/>
                <w:sz w:val="23"/>
                <w:szCs w:val="23"/>
              </w:rPr>
              <w:t xml:space="preserve">. </w:t>
            </w:r>
            <w:r>
              <w:rPr>
                <w:rFonts w:ascii="Verdana" w:hAnsi="Verdana"/>
                <w:b/>
                <w:bCs/>
                <w:sz w:val="23"/>
                <w:szCs w:val="23"/>
              </w:rPr>
              <w:t>Transparencia y Sist</w:t>
            </w:r>
            <w:r w:rsidR="00CA7AA0">
              <w:rPr>
                <w:rFonts w:ascii="Verdana" w:hAnsi="Verdana"/>
                <w:b/>
                <w:bCs/>
                <w:sz w:val="23"/>
                <w:szCs w:val="23"/>
              </w:rPr>
              <w:t>ema Interno de Garantía de Cali</w:t>
            </w:r>
            <w:r>
              <w:rPr>
                <w:rFonts w:ascii="Verdana" w:hAnsi="Verdana"/>
                <w:b/>
                <w:bCs/>
                <w:sz w:val="23"/>
                <w:szCs w:val="23"/>
              </w:rPr>
              <w:t>d</w:t>
            </w:r>
            <w:r w:rsidR="00CA7AA0">
              <w:rPr>
                <w:rFonts w:ascii="Verdana" w:hAnsi="Verdana"/>
                <w:b/>
                <w:bCs/>
                <w:sz w:val="23"/>
                <w:szCs w:val="23"/>
              </w:rPr>
              <w:t>a</w:t>
            </w:r>
            <w:r>
              <w:rPr>
                <w:rFonts w:ascii="Verdana" w:hAnsi="Verdana"/>
                <w:b/>
                <w:bCs/>
                <w:sz w:val="23"/>
                <w:szCs w:val="23"/>
              </w:rPr>
              <w:t>d</w:t>
            </w:r>
            <w:r w:rsidRPr="00EB5F81">
              <w:rPr>
                <w:rFonts w:ascii="Verdana" w:hAnsi="Verdana"/>
                <w:b/>
                <w:bCs/>
                <w:sz w:val="23"/>
                <w:szCs w:val="23"/>
              </w:rPr>
              <w:t>.</w:t>
            </w:r>
          </w:p>
        </w:tc>
      </w:tr>
      <w:tr w:rsidR="001C26AF" w:rsidRPr="00AC0A7B" w:rsidTr="00E57306">
        <w:trPr>
          <w:trHeight w:val="96"/>
        </w:trPr>
        <w:tc>
          <w:tcPr>
            <w:tcW w:w="9180" w:type="dxa"/>
          </w:tcPr>
          <w:p w:rsidR="001C26AF" w:rsidRPr="00D53722" w:rsidRDefault="001C26AF" w:rsidP="00E57306">
            <w:pPr>
              <w:spacing w:after="0"/>
              <w:ind w:left="357"/>
              <w:jc w:val="both"/>
            </w:pPr>
            <w:r w:rsidRPr="00D53722">
              <w:t>El título ha puesto en marcha los mecanismos necesarios para garantizar: la disponibilidad de información pública objetiva y suficiente, la implantación del Sistema Interno de Garantía de Calidad, el análisis de las recomendaciones de los diferentes informes externos y la incorporación a la planificación y desarrollo del título de las propuestas de mejora derivadas del proceso de seguimiento externo.</w:t>
            </w:r>
          </w:p>
        </w:tc>
      </w:tr>
    </w:tbl>
    <w:p w:rsidR="001C26AF" w:rsidRDefault="001C26AF" w:rsidP="001C26AF">
      <w:pPr>
        <w:jc w:val="both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C26AF" w:rsidTr="00E57306">
        <w:trPr>
          <w:trHeight w:val="96"/>
        </w:trPr>
        <w:tc>
          <w:tcPr>
            <w:tcW w:w="9180" w:type="dxa"/>
          </w:tcPr>
          <w:p w:rsidR="001C26AF" w:rsidRPr="00EB5F81" w:rsidRDefault="001C26AF" w:rsidP="001C26AF">
            <w:pPr>
              <w:pStyle w:val="Default"/>
              <w:numPr>
                <w:ilvl w:val="1"/>
                <w:numId w:val="28"/>
              </w:num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pública </w:t>
            </w:r>
            <w:r w:rsidRPr="00EB5F81">
              <w:rPr>
                <w:b/>
                <w:sz w:val="20"/>
                <w:szCs w:val="20"/>
              </w:rPr>
              <w:t>del título</w:t>
            </w:r>
          </w:p>
        </w:tc>
      </w:tr>
      <w:tr w:rsidR="001C26AF" w:rsidRPr="00CF340F" w:rsidTr="00E57306">
        <w:trPr>
          <w:trHeight w:val="96"/>
        </w:trPr>
        <w:tc>
          <w:tcPr>
            <w:tcW w:w="9180" w:type="dxa"/>
          </w:tcPr>
          <w:p w:rsidR="001C26AF" w:rsidRPr="00D53722" w:rsidRDefault="001C26AF" w:rsidP="001C26AF">
            <w:pPr>
              <w:spacing w:after="0"/>
              <w:jc w:val="both"/>
            </w:pPr>
            <w:r w:rsidRPr="00D53722">
              <w:t>Estándares:</w:t>
            </w:r>
          </w:p>
          <w:p w:rsidR="001C26AF" w:rsidRPr="00D53722" w:rsidRDefault="001C26AF" w:rsidP="001C26AF">
            <w:pPr>
              <w:pStyle w:val="Prrafodelista"/>
              <w:numPr>
                <w:ilvl w:val="0"/>
                <w:numId w:val="29"/>
              </w:numPr>
              <w:jc w:val="both"/>
            </w:pPr>
            <w:r w:rsidRPr="00D53722">
              <w:t xml:space="preserve">La </w:t>
            </w:r>
            <w:r w:rsidR="00056B11">
              <w:t>U</w:t>
            </w:r>
            <w:r w:rsidRPr="00D53722">
              <w:t xml:space="preserve">niversidad </w:t>
            </w:r>
            <w:proofErr w:type="spellStart"/>
            <w:r w:rsidRPr="00D53722">
              <w:t>publica</w:t>
            </w:r>
            <w:proofErr w:type="spellEnd"/>
            <w:r w:rsidRPr="00D53722">
              <w:t xml:space="preserve"> información suficiente y relevante sobre las características del programa formativo, su desarrollo y los resultados alcanzados. </w:t>
            </w:r>
          </w:p>
          <w:p w:rsidR="001C26AF" w:rsidRPr="00D53722" w:rsidRDefault="001C26AF" w:rsidP="001C26AF">
            <w:pPr>
              <w:pStyle w:val="Prrafodelista"/>
              <w:numPr>
                <w:ilvl w:val="0"/>
                <w:numId w:val="29"/>
              </w:numPr>
              <w:jc w:val="both"/>
            </w:pPr>
            <w:r w:rsidRPr="00D53722">
              <w:t>La información pública sobre el título es objetiva, está actualizada y es coherente con el contenido de la memoria del título verificado y de sus posteriores modificaciones aprobadas.</w:t>
            </w:r>
          </w:p>
          <w:p w:rsidR="001C26AF" w:rsidRPr="00D53722" w:rsidRDefault="001C26AF" w:rsidP="001C26AF">
            <w:pPr>
              <w:pStyle w:val="Prrafodelista"/>
              <w:numPr>
                <w:ilvl w:val="0"/>
                <w:numId w:val="29"/>
              </w:numPr>
              <w:jc w:val="both"/>
            </w:pPr>
            <w:r w:rsidRPr="00D53722">
              <w:t>Se garantiza un fácil acceso a la información relevante de la titulación a todos los grupos de interés (estudiantes, titulados, empleadores, familias,…).</w:t>
            </w:r>
          </w:p>
        </w:tc>
      </w:tr>
      <w:tr w:rsidR="001C26AF" w:rsidRPr="00CF340F" w:rsidTr="00E57306">
        <w:trPr>
          <w:trHeight w:val="96"/>
        </w:trPr>
        <w:tc>
          <w:tcPr>
            <w:tcW w:w="9180" w:type="dxa"/>
          </w:tcPr>
          <w:p w:rsidR="001C26AF" w:rsidRPr="00D53722" w:rsidRDefault="001C26AF" w:rsidP="00E57306">
            <w:pPr>
              <w:pStyle w:val="Default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D53722">
              <w:rPr>
                <w:rFonts w:asciiTheme="minorHAnsi" w:hAnsiTheme="minorHAnsi"/>
                <w:i/>
                <w:sz w:val="22"/>
                <w:szCs w:val="22"/>
              </w:rPr>
              <w:t>Breve descripción y valoración del cumplimento de los estándares:</w:t>
            </w:r>
          </w:p>
          <w:p w:rsidR="001C26AF" w:rsidRPr="00D53722" w:rsidRDefault="001C26AF" w:rsidP="00E5730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F2430" w:rsidRPr="00D53722" w:rsidRDefault="004F2430" w:rsidP="004F243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F2430" w:rsidRPr="00D53722" w:rsidRDefault="004F2430" w:rsidP="004F243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F2430">
              <w:rPr>
                <w:rFonts w:asciiTheme="minorHAnsi" w:hAnsiTheme="minorHAnsi"/>
                <w:i/>
                <w:sz w:val="22"/>
                <w:szCs w:val="22"/>
              </w:rPr>
              <w:t>Listado de evidencias:</w:t>
            </w:r>
          </w:p>
          <w:p w:rsidR="001C26AF" w:rsidRPr="00D53722" w:rsidRDefault="001C26AF" w:rsidP="00E5730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E6DF5" w:rsidRDefault="00CE6DF5" w:rsidP="006B1C83">
      <w:pPr>
        <w:pStyle w:val="Prrafodelista"/>
        <w:jc w:val="both"/>
        <w:rPr>
          <w:i/>
          <w:strike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C26AF" w:rsidTr="00E57306">
        <w:trPr>
          <w:trHeight w:val="96"/>
        </w:trPr>
        <w:tc>
          <w:tcPr>
            <w:tcW w:w="9180" w:type="dxa"/>
          </w:tcPr>
          <w:p w:rsidR="001C26AF" w:rsidRPr="00EB5F81" w:rsidRDefault="001C26AF" w:rsidP="00E57306">
            <w:pPr>
              <w:pStyle w:val="Default"/>
              <w:numPr>
                <w:ilvl w:val="1"/>
                <w:numId w:val="28"/>
              </w:num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Sistema Interno de Garantía de Calidad</w:t>
            </w:r>
          </w:p>
        </w:tc>
      </w:tr>
      <w:tr w:rsidR="001C26AF" w:rsidRPr="00CF340F" w:rsidTr="00E57306">
        <w:trPr>
          <w:trHeight w:val="96"/>
        </w:trPr>
        <w:tc>
          <w:tcPr>
            <w:tcW w:w="9180" w:type="dxa"/>
          </w:tcPr>
          <w:p w:rsidR="001C26AF" w:rsidRPr="00D53722" w:rsidRDefault="001C26AF" w:rsidP="00E57306">
            <w:pPr>
              <w:spacing w:after="0"/>
              <w:jc w:val="both"/>
            </w:pPr>
            <w:r w:rsidRPr="00D53722">
              <w:t>Estándares:</w:t>
            </w:r>
          </w:p>
          <w:p w:rsidR="001C26AF" w:rsidRPr="00D53722" w:rsidRDefault="001C26AF" w:rsidP="001C26AF">
            <w:pPr>
              <w:pStyle w:val="Prrafodelista"/>
              <w:numPr>
                <w:ilvl w:val="0"/>
                <w:numId w:val="14"/>
              </w:numPr>
              <w:jc w:val="both"/>
            </w:pPr>
            <w:r w:rsidRPr="00D53722">
              <w:t>El SIGC implantado garantiza la recogida de información y de los resultados relevantes para la toma de decisiones y la gestión eficaz del título, en especial sobre los resultados de aprendizaje y la satisfacción de los grupos de interés.</w:t>
            </w:r>
          </w:p>
          <w:p w:rsidR="001C26AF" w:rsidRPr="00D53722" w:rsidRDefault="001C26AF" w:rsidP="001C26AF">
            <w:pPr>
              <w:pStyle w:val="Prrafodelista"/>
              <w:numPr>
                <w:ilvl w:val="0"/>
                <w:numId w:val="14"/>
              </w:numPr>
              <w:shd w:val="clear" w:color="auto" w:fill="FFFFFF" w:themeFill="background1"/>
              <w:jc w:val="both"/>
            </w:pPr>
            <w:r w:rsidRPr="00D53722">
              <w:t xml:space="preserve">El SIGC implantado dispone de procedimientos que facilitan la evaluación y mejora de: </w:t>
            </w:r>
          </w:p>
          <w:p w:rsidR="001C26AF" w:rsidRPr="00D53722" w:rsidRDefault="001C26AF" w:rsidP="001C26AF">
            <w:pPr>
              <w:pStyle w:val="Prrafodelista"/>
              <w:numPr>
                <w:ilvl w:val="1"/>
                <w:numId w:val="30"/>
              </w:numPr>
              <w:jc w:val="both"/>
            </w:pPr>
            <w:r w:rsidRPr="00D53722">
              <w:t>la calidad de la enseñanza y el profesorado</w:t>
            </w:r>
          </w:p>
          <w:p w:rsidR="001C26AF" w:rsidRPr="00D53722" w:rsidRDefault="001C26AF" w:rsidP="001C26AF">
            <w:pPr>
              <w:pStyle w:val="Prrafodelista"/>
              <w:numPr>
                <w:ilvl w:val="1"/>
                <w:numId w:val="30"/>
              </w:numPr>
              <w:jc w:val="both"/>
            </w:pPr>
            <w:r w:rsidRPr="00D53722">
              <w:t xml:space="preserve">la calidad de las prácticas externas </w:t>
            </w:r>
          </w:p>
          <w:p w:rsidR="001C26AF" w:rsidRPr="00D53722" w:rsidRDefault="001C26AF" w:rsidP="001C26AF">
            <w:pPr>
              <w:pStyle w:val="Prrafodelista"/>
              <w:numPr>
                <w:ilvl w:val="1"/>
                <w:numId w:val="30"/>
              </w:numPr>
              <w:jc w:val="both"/>
            </w:pPr>
            <w:r w:rsidRPr="00D53722">
              <w:t>la calidad de los programas de movilidad</w:t>
            </w:r>
          </w:p>
          <w:p w:rsidR="001C26AF" w:rsidRPr="00D53722" w:rsidRDefault="001C26AF" w:rsidP="001C26AF">
            <w:pPr>
              <w:pStyle w:val="Prrafodelista"/>
              <w:numPr>
                <w:ilvl w:val="0"/>
                <w:numId w:val="14"/>
              </w:numPr>
              <w:jc w:val="both"/>
            </w:pPr>
            <w:r w:rsidRPr="00D53722">
              <w:t>El SIGC implantado dispone de procedimientos adecuados para atender a las sugerencias y reclamaciones.</w:t>
            </w:r>
          </w:p>
          <w:p w:rsidR="001C26AF" w:rsidRPr="00D53722" w:rsidRDefault="001C26AF" w:rsidP="001C26AF">
            <w:pPr>
              <w:pStyle w:val="Prrafodelista"/>
              <w:numPr>
                <w:ilvl w:val="0"/>
                <w:numId w:val="14"/>
              </w:numPr>
              <w:jc w:val="both"/>
            </w:pPr>
            <w:r w:rsidRPr="00D53722">
              <w:t>El SIGC implantado facilita el seguimiento del título, así como la propuesta de modificaciones y acciones de mejora del título, a partir del análisis de datos objetivos.</w:t>
            </w:r>
          </w:p>
          <w:p w:rsidR="001C26AF" w:rsidRPr="00D53722" w:rsidRDefault="001C26AF" w:rsidP="001C26AF">
            <w:pPr>
              <w:pStyle w:val="Prrafodelista"/>
              <w:numPr>
                <w:ilvl w:val="0"/>
                <w:numId w:val="14"/>
              </w:numPr>
              <w:jc w:val="both"/>
            </w:pPr>
            <w:r w:rsidRPr="00D53722">
              <w:t>En el caso de títulos interuniversitarios o de títulos que se imparten en varios centros de la Universidad, las acciones llevadas a cabo como consecuencia de la implantación del SIGC están coordinadas en todos los centros participantes en el programa formativo.</w:t>
            </w:r>
          </w:p>
        </w:tc>
      </w:tr>
      <w:tr w:rsidR="001C26AF" w:rsidRPr="00CF340F" w:rsidTr="00E57306">
        <w:trPr>
          <w:trHeight w:val="96"/>
        </w:trPr>
        <w:tc>
          <w:tcPr>
            <w:tcW w:w="9180" w:type="dxa"/>
          </w:tcPr>
          <w:p w:rsidR="001C26AF" w:rsidRPr="00D53722" w:rsidRDefault="001C26AF" w:rsidP="00E57306">
            <w:pPr>
              <w:pStyle w:val="Default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D53722">
              <w:rPr>
                <w:rFonts w:asciiTheme="minorHAnsi" w:hAnsiTheme="minorHAnsi"/>
                <w:i/>
                <w:sz w:val="22"/>
                <w:szCs w:val="22"/>
              </w:rPr>
              <w:t>Breve descripción y valoración del cumplimento de los estándares:</w:t>
            </w:r>
          </w:p>
          <w:p w:rsidR="001C26AF" w:rsidRPr="00D53722" w:rsidRDefault="001C26AF" w:rsidP="00E5730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F2430" w:rsidRDefault="004F2430" w:rsidP="004F2430">
            <w:pPr>
              <w:pStyle w:val="Default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4F2430" w:rsidRPr="00D53722" w:rsidRDefault="004F2430" w:rsidP="004F243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F2430">
              <w:rPr>
                <w:rFonts w:asciiTheme="minorHAnsi" w:hAnsiTheme="minorHAnsi"/>
                <w:i/>
                <w:sz w:val="22"/>
                <w:szCs w:val="22"/>
              </w:rPr>
              <w:t>Listado de evidencias:</w:t>
            </w:r>
          </w:p>
          <w:p w:rsidR="001C26AF" w:rsidRPr="00D53722" w:rsidRDefault="001C26AF" w:rsidP="00E5730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C26AF" w:rsidRDefault="001C26AF" w:rsidP="006B1C83">
      <w:pPr>
        <w:pStyle w:val="Prrafodelista"/>
        <w:jc w:val="both"/>
        <w:rPr>
          <w:i/>
          <w:strike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C26AF" w:rsidTr="00E57306">
        <w:trPr>
          <w:trHeight w:val="96"/>
        </w:trPr>
        <w:tc>
          <w:tcPr>
            <w:tcW w:w="9180" w:type="dxa"/>
          </w:tcPr>
          <w:p w:rsidR="001C26AF" w:rsidRPr="00EB5F81" w:rsidRDefault="001C26AF" w:rsidP="00E57306">
            <w:pPr>
              <w:pStyle w:val="Default"/>
              <w:numPr>
                <w:ilvl w:val="1"/>
                <w:numId w:val="28"/>
              </w:num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Evolución de la implantación del título</w:t>
            </w:r>
          </w:p>
        </w:tc>
      </w:tr>
      <w:tr w:rsidR="001C26AF" w:rsidRPr="00CF340F" w:rsidTr="00E57306">
        <w:trPr>
          <w:trHeight w:val="96"/>
        </w:trPr>
        <w:tc>
          <w:tcPr>
            <w:tcW w:w="9180" w:type="dxa"/>
          </w:tcPr>
          <w:p w:rsidR="001C26AF" w:rsidRPr="00D53722" w:rsidRDefault="001C26AF" w:rsidP="00E57306">
            <w:pPr>
              <w:spacing w:after="0"/>
              <w:jc w:val="both"/>
            </w:pPr>
            <w:r w:rsidRPr="00D53722">
              <w:t>Estándares:</w:t>
            </w:r>
          </w:p>
          <w:p w:rsidR="001C26AF" w:rsidRPr="00D53722" w:rsidRDefault="001C26AF" w:rsidP="001C26AF">
            <w:pPr>
              <w:pStyle w:val="Prrafodelista"/>
              <w:numPr>
                <w:ilvl w:val="0"/>
                <w:numId w:val="15"/>
              </w:numPr>
              <w:jc w:val="both"/>
            </w:pPr>
            <w:r w:rsidRPr="00D53722">
              <w:t>Las recomendaciones de los distintos informes de evaluación han sido analizadas y, en su caso, se han incorporado efectivamente a la planificación y desarrollo del título.</w:t>
            </w:r>
          </w:p>
          <w:p w:rsidR="001C26AF" w:rsidRPr="00D53722" w:rsidRDefault="001C26AF" w:rsidP="001C26AF">
            <w:pPr>
              <w:pStyle w:val="Prrafodelista"/>
              <w:numPr>
                <w:ilvl w:val="0"/>
                <w:numId w:val="14"/>
              </w:numPr>
              <w:jc w:val="both"/>
            </w:pPr>
            <w:r w:rsidRPr="00D53722">
              <w:t>Las actuaciones desarrolladas para dar respuesta a las recomendaciones han resultado adecuadas para solventar las deficiencias detectadas.</w:t>
            </w:r>
          </w:p>
        </w:tc>
      </w:tr>
      <w:tr w:rsidR="001C26AF" w:rsidRPr="00CF340F" w:rsidTr="00E57306">
        <w:trPr>
          <w:trHeight w:val="96"/>
        </w:trPr>
        <w:tc>
          <w:tcPr>
            <w:tcW w:w="9180" w:type="dxa"/>
          </w:tcPr>
          <w:p w:rsidR="001C26AF" w:rsidRPr="00D53722" w:rsidRDefault="001C26AF" w:rsidP="00E57306">
            <w:pPr>
              <w:pStyle w:val="Default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D53722">
              <w:rPr>
                <w:rFonts w:asciiTheme="minorHAnsi" w:hAnsiTheme="minorHAnsi"/>
                <w:i/>
                <w:sz w:val="22"/>
                <w:szCs w:val="22"/>
              </w:rPr>
              <w:t>Breve descripción y valoración del cumplimento de los estándares:</w:t>
            </w:r>
          </w:p>
          <w:p w:rsidR="001C26AF" w:rsidRPr="00D53722" w:rsidRDefault="001C26AF" w:rsidP="00E5730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C26AF" w:rsidRPr="00D53722" w:rsidRDefault="001C26AF" w:rsidP="00E5730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F2430" w:rsidRPr="00D53722" w:rsidRDefault="004F2430" w:rsidP="004F243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F2430">
              <w:rPr>
                <w:rFonts w:asciiTheme="minorHAnsi" w:hAnsiTheme="minorHAnsi"/>
                <w:i/>
                <w:sz w:val="22"/>
                <w:szCs w:val="22"/>
              </w:rPr>
              <w:t>Listado de evidencias:</w:t>
            </w:r>
          </w:p>
          <w:p w:rsidR="001C26AF" w:rsidRPr="00D53722" w:rsidRDefault="001C26AF" w:rsidP="00E5730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C26AF" w:rsidRDefault="001C26AF" w:rsidP="001C26AF">
      <w:pPr>
        <w:pStyle w:val="Prrafodelista"/>
        <w:jc w:val="both"/>
        <w:rPr>
          <w:i/>
          <w:strike/>
        </w:rPr>
      </w:pPr>
    </w:p>
    <w:p w:rsidR="001C26AF" w:rsidRDefault="001C26AF">
      <w:pPr>
        <w:rPr>
          <w:i/>
          <w:strike/>
        </w:rPr>
      </w:pPr>
      <w:r>
        <w:rPr>
          <w:i/>
          <w:strike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C26AF" w:rsidRPr="00AC0A7B" w:rsidTr="00E57306">
        <w:trPr>
          <w:trHeight w:val="96"/>
        </w:trPr>
        <w:tc>
          <w:tcPr>
            <w:tcW w:w="9180" w:type="dxa"/>
            <w:shd w:val="clear" w:color="auto" w:fill="B8CCE4" w:themeFill="accent1" w:themeFillTint="66"/>
          </w:tcPr>
          <w:p w:rsidR="001C26AF" w:rsidRPr="00EB5F81" w:rsidRDefault="001C26AF" w:rsidP="0055420F">
            <w:pPr>
              <w:spacing w:after="0"/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3"/>
                <w:szCs w:val="23"/>
              </w:rPr>
              <w:lastRenderedPageBreak/>
              <w:t>3</w:t>
            </w:r>
            <w:r w:rsidRPr="00EB5F81">
              <w:rPr>
                <w:rFonts w:ascii="Verdana" w:hAnsi="Verdana"/>
                <w:b/>
                <w:bCs/>
                <w:sz w:val="23"/>
                <w:szCs w:val="23"/>
              </w:rPr>
              <w:t xml:space="preserve">. </w:t>
            </w:r>
            <w:r>
              <w:rPr>
                <w:rFonts w:ascii="Verdana" w:hAnsi="Verdana"/>
                <w:b/>
                <w:bCs/>
                <w:sz w:val="23"/>
                <w:szCs w:val="23"/>
              </w:rPr>
              <w:t xml:space="preserve">Recursos humanos y </w:t>
            </w:r>
            <w:r w:rsidR="0055420F">
              <w:rPr>
                <w:rFonts w:ascii="Verdana" w:hAnsi="Verdana"/>
                <w:b/>
                <w:bCs/>
                <w:sz w:val="23"/>
                <w:szCs w:val="23"/>
              </w:rPr>
              <w:t>de apoyo</w:t>
            </w:r>
            <w:r w:rsidRPr="00EB5F81">
              <w:rPr>
                <w:rFonts w:ascii="Verdana" w:hAnsi="Verdana"/>
                <w:b/>
                <w:bCs/>
                <w:sz w:val="23"/>
                <w:szCs w:val="23"/>
              </w:rPr>
              <w:t>.</w:t>
            </w:r>
          </w:p>
        </w:tc>
      </w:tr>
      <w:tr w:rsidR="001C26AF" w:rsidRPr="00AC0A7B" w:rsidTr="00E57306">
        <w:trPr>
          <w:trHeight w:val="96"/>
        </w:trPr>
        <w:tc>
          <w:tcPr>
            <w:tcW w:w="9180" w:type="dxa"/>
          </w:tcPr>
          <w:p w:rsidR="001C26AF" w:rsidRPr="00D53722" w:rsidRDefault="001C26AF" w:rsidP="00E57306">
            <w:pPr>
              <w:spacing w:after="0"/>
              <w:ind w:left="357"/>
              <w:jc w:val="both"/>
            </w:pPr>
            <w:r w:rsidRPr="00D53722">
              <w:t>Los recursos humanos, materiales y de apoyo necesarios para el desarrollo de las actividades previstas en el plan de estudios son los adecuados para asegurar la adquisición de las competencias por parte de los estudiantes.</w:t>
            </w:r>
          </w:p>
        </w:tc>
      </w:tr>
    </w:tbl>
    <w:p w:rsidR="00C10A5B" w:rsidRDefault="00C10A5B" w:rsidP="005C2FA2">
      <w:pPr>
        <w:suppressAutoHyphens/>
        <w:spacing w:line="240" w:lineRule="auto"/>
        <w:ind w:left="360"/>
        <w:jc w:val="both"/>
        <w:rPr>
          <w:i/>
          <w:strike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C26AF" w:rsidRPr="00EB5F81" w:rsidTr="00E57306">
        <w:trPr>
          <w:trHeight w:val="96"/>
        </w:trPr>
        <w:tc>
          <w:tcPr>
            <w:tcW w:w="9180" w:type="dxa"/>
          </w:tcPr>
          <w:p w:rsidR="001C26AF" w:rsidRPr="00EB5F81" w:rsidRDefault="001C26AF" w:rsidP="001C26AF">
            <w:pPr>
              <w:pStyle w:val="Default"/>
              <w:numPr>
                <w:ilvl w:val="1"/>
                <w:numId w:val="31"/>
              </w:num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académico</w:t>
            </w:r>
          </w:p>
        </w:tc>
      </w:tr>
      <w:tr w:rsidR="001C26AF" w:rsidRPr="001C26AF" w:rsidTr="00E57306">
        <w:trPr>
          <w:trHeight w:val="96"/>
        </w:trPr>
        <w:tc>
          <w:tcPr>
            <w:tcW w:w="9180" w:type="dxa"/>
          </w:tcPr>
          <w:p w:rsidR="001C26AF" w:rsidRPr="00D53722" w:rsidRDefault="001C26AF" w:rsidP="00E57306">
            <w:pPr>
              <w:spacing w:after="0"/>
              <w:jc w:val="both"/>
            </w:pPr>
            <w:r w:rsidRPr="00D53722">
              <w:t>Estándares:</w:t>
            </w:r>
          </w:p>
          <w:p w:rsidR="001C26AF" w:rsidRPr="00D53722" w:rsidRDefault="001C26AF" w:rsidP="001C26AF">
            <w:pPr>
              <w:pStyle w:val="Prrafodelista"/>
              <w:numPr>
                <w:ilvl w:val="0"/>
                <w:numId w:val="16"/>
              </w:numPr>
              <w:jc w:val="both"/>
            </w:pPr>
            <w:r w:rsidRPr="00D53722">
              <w:t>El profesorado reúne los requisitos de cualificación académica exigidos para la impartición de la docencia en el título y dispone de la adecuada experiencia docente, investigadora y/o profesional.</w:t>
            </w:r>
          </w:p>
          <w:p w:rsidR="001C26AF" w:rsidRPr="00D53722" w:rsidRDefault="001C26AF" w:rsidP="001C26AF">
            <w:pPr>
              <w:pStyle w:val="Prrafodelista"/>
              <w:numPr>
                <w:ilvl w:val="0"/>
                <w:numId w:val="16"/>
              </w:numPr>
              <w:jc w:val="both"/>
            </w:pPr>
            <w:r w:rsidRPr="00D53722">
              <w:t>El profesorado es suficiente y dispone de la dedicación necesaria para desarrollar sus funciones de forma adecuada, en especial considerando el número de estudiantes del título y, en su caso, las modalidades de impartición.</w:t>
            </w:r>
          </w:p>
          <w:p w:rsidR="001C26AF" w:rsidRPr="00D53722" w:rsidRDefault="001C26AF" w:rsidP="001C26AF">
            <w:pPr>
              <w:pStyle w:val="Prrafodelista"/>
              <w:numPr>
                <w:ilvl w:val="0"/>
                <w:numId w:val="16"/>
              </w:numPr>
              <w:jc w:val="both"/>
            </w:pPr>
            <w:r w:rsidRPr="00D53722">
              <w:t>Se han cumplido los compromisos incluidos en la memoria de verificación en cuanto a los recursos de profesorado previstos (contratación, mejora de la cualificación docente e investigadora del profesorado, etc.).</w:t>
            </w:r>
          </w:p>
          <w:p w:rsidR="001C26AF" w:rsidRPr="00D53722" w:rsidRDefault="001C26AF" w:rsidP="001C26AF">
            <w:pPr>
              <w:pStyle w:val="Prrafodelista"/>
              <w:numPr>
                <w:ilvl w:val="0"/>
                <w:numId w:val="16"/>
              </w:numPr>
              <w:jc w:val="both"/>
            </w:pPr>
            <w:r w:rsidRPr="00D53722">
              <w:t>La institución pone a disposición del profesorado oportunidades y mecanismos para continuar su formación y actualización en su ámbito temático, con el objeto de mejorar la actividad docente y garantizar la competencia del profesorado.</w:t>
            </w:r>
          </w:p>
        </w:tc>
      </w:tr>
      <w:tr w:rsidR="001C26AF" w:rsidTr="00E57306">
        <w:trPr>
          <w:trHeight w:val="96"/>
        </w:trPr>
        <w:tc>
          <w:tcPr>
            <w:tcW w:w="9180" w:type="dxa"/>
          </w:tcPr>
          <w:p w:rsidR="001C26AF" w:rsidRPr="00D53722" w:rsidRDefault="001C26AF" w:rsidP="00E57306">
            <w:pPr>
              <w:pStyle w:val="Default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D53722">
              <w:rPr>
                <w:rFonts w:asciiTheme="minorHAnsi" w:hAnsiTheme="minorHAnsi"/>
                <w:i/>
                <w:sz w:val="22"/>
                <w:szCs w:val="22"/>
              </w:rPr>
              <w:t>Breve descripción y valoración del cumplimento de los estándares:</w:t>
            </w:r>
          </w:p>
          <w:p w:rsidR="001C26AF" w:rsidRPr="00D53722" w:rsidRDefault="001C26AF" w:rsidP="00E5730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C26AF" w:rsidRPr="00D53722" w:rsidRDefault="001C26AF" w:rsidP="00E5730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F2430" w:rsidRPr="00D53722" w:rsidRDefault="004F2430" w:rsidP="004F243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F2430">
              <w:rPr>
                <w:rFonts w:asciiTheme="minorHAnsi" w:hAnsiTheme="minorHAnsi"/>
                <w:i/>
                <w:sz w:val="22"/>
                <w:szCs w:val="22"/>
              </w:rPr>
              <w:t>Listado de evidencias:</w:t>
            </w:r>
          </w:p>
          <w:p w:rsidR="001C26AF" w:rsidRPr="00D53722" w:rsidRDefault="001C26AF" w:rsidP="00E5730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10A5B" w:rsidRPr="00CD2DF5" w:rsidRDefault="00C10A5B" w:rsidP="00433D21">
      <w:pPr>
        <w:pStyle w:val="Prrafodelista"/>
        <w:jc w:val="both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C26AF" w:rsidRPr="00EB5F81" w:rsidTr="00E57306">
        <w:trPr>
          <w:trHeight w:val="96"/>
        </w:trPr>
        <w:tc>
          <w:tcPr>
            <w:tcW w:w="9180" w:type="dxa"/>
          </w:tcPr>
          <w:p w:rsidR="001C26AF" w:rsidRPr="00EB5F81" w:rsidRDefault="001C26AF" w:rsidP="00E57306">
            <w:pPr>
              <w:pStyle w:val="Default"/>
              <w:numPr>
                <w:ilvl w:val="1"/>
                <w:numId w:val="31"/>
              </w:num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Recursos de apoyo para el aprendizaje</w:t>
            </w:r>
          </w:p>
        </w:tc>
      </w:tr>
      <w:tr w:rsidR="001C26AF" w:rsidRPr="001C26AF" w:rsidTr="00E57306">
        <w:trPr>
          <w:trHeight w:val="96"/>
        </w:trPr>
        <w:tc>
          <w:tcPr>
            <w:tcW w:w="9180" w:type="dxa"/>
          </w:tcPr>
          <w:p w:rsidR="001C26AF" w:rsidRPr="00D53722" w:rsidRDefault="001C26AF" w:rsidP="00E57306">
            <w:pPr>
              <w:spacing w:after="0"/>
              <w:jc w:val="both"/>
            </w:pPr>
            <w:r w:rsidRPr="00D53722">
              <w:t>Estándares:</w:t>
            </w:r>
          </w:p>
          <w:p w:rsidR="001C26AF" w:rsidRPr="00D53722" w:rsidRDefault="001C26AF" w:rsidP="001C26AF">
            <w:pPr>
              <w:pStyle w:val="Prrafodelista"/>
              <w:numPr>
                <w:ilvl w:val="0"/>
                <w:numId w:val="17"/>
              </w:numPr>
              <w:jc w:val="both"/>
            </w:pPr>
            <w:r w:rsidRPr="00D53722">
              <w:t>El personal de apoyo que ha participado, de una forma directa, en la implantación del título ha sido suficiente y adecuado, en función de las características del título y las modalidades de impartición.</w:t>
            </w:r>
          </w:p>
          <w:p w:rsidR="001C26AF" w:rsidRPr="00D53722" w:rsidRDefault="001C26AF" w:rsidP="001C26AF">
            <w:pPr>
              <w:pStyle w:val="Prrafodelista"/>
              <w:numPr>
                <w:ilvl w:val="0"/>
                <w:numId w:val="17"/>
              </w:numPr>
              <w:jc w:val="both"/>
            </w:pPr>
            <w:r w:rsidRPr="00D53722">
              <w:t>Se han cumplido los compromisos incluidos en la memoria de verificación en cuanto a los recursos de personal de apoyo (contratación, mejora de la cualificación, etc.).</w:t>
            </w:r>
          </w:p>
          <w:p w:rsidR="001C26AF" w:rsidRPr="00D53722" w:rsidRDefault="001C26AF" w:rsidP="001C26AF">
            <w:pPr>
              <w:pStyle w:val="Prrafodelista"/>
              <w:numPr>
                <w:ilvl w:val="0"/>
                <w:numId w:val="17"/>
              </w:numPr>
              <w:jc w:val="both"/>
            </w:pPr>
            <w:r w:rsidRPr="00D53722">
              <w:t xml:space="preserve">Los servicios de orientación académica y profesional responden a las necesidades del proceso de aprendizaje los estudiantes. </w:t>
            </w:r>
          </w:p>
          <w:p w:rsidR="001C26AF" w:rsidRPr="00D53722" w:rsidRDefault="001C26AF" w:rsidP="001C26AF">
            <w:pPr>
              <w:pStyle w:val="Prrafodelista"/>
              <w:numPr>
                <w:ilvl w:val="0"/>
                <w:numId w:val="17"/>
              </w:numPr>
              <w:jc w:val="both"/>
            </w:pPr>
            <w:r w:rsidRPr="00D53722">
              <w:t xml:space="preserve">Los recursos materiales disponibles (aulas, servicios bibliotecarios, laboratorios, etc.) coinciden con las previsiones especificadas y los compromisos adquiridos en la memoria de verificación. </w:t>
            </w:r>
          </w:p>
          <w:p w:rsidR="001C26AF" w:rsidRPr="00D53722" w:rsidRDefault="001C26AF" w:rsidP="001C26AF">
            <w:pPr>
              <w:pStyle w:val="Prrafodelista"/>
              <w:numPr>
                <w:ilvl w:val="0"/>
                <w:numId w:val="17"/>
              </w:numPr>
              <w:jc w:val="both"/>
            </w:pPr>
            <w:r w:rsidRPr="00D53722">
              <w:t xml:space="preserve">Los recursos materiales disponibles son suficientes y adecuados al número de estudiantes y a las características del título. </w:t>
            </w:r>
          </w:p>
          <w:p w:rsidR="001C26AF" w:rsidRPr="00D53722" w:rsidRDefault="001C26AF" w:rsidP="001C26AF">
            <w:pPr>
              <w:pStyle w:val="Prrafodelista"/>
              <w:numPr>
                <w:ilvl w:val="0"/>
                <w:numId w:val="17"/>
              </w:numPr>
              <w:jc w:val="both"/>
            </w:pPr>
            <w:r w:rsidRPr="00D53722">
              <w:t xml:space="preserve">En el caso de modalidades semipresencial o a distancia, se garantiza que los recursos y servicios de apoyo son los adecuados para abordar las necesidades específicas de los estudiantes </w:t>
            </w:r>
            <w:r w:rsidRPr="00D53722">
              <w:lastRenderedPageBreak/>
              <w:t>(infraestructuras y servicios tanto en el centro responsable del título como en centros externos -centros de prácticas, empresas, centros asociados, etc.).</w:t>
            </w:r>
          </w:p>
        </w:tc>
      </w:tr>
      <w:tr w:rsidR="001C26AF" w:rsidTr="00E57306">
        <w:trPr>
          <w:trHeight w:val="96"/>
        </w:trPr>
        <w:tc>
          <w:tcPr>
            <w:tcW w:w="9180" w:type="dxa"/>
          </w:tcPr>
          <w:p w:rsidR="001C26AF" w:rsidRPr="00D53722" w:rsidRDefault="001C26AF" w:rsidP="00E57306">
            <w:pPr>
              <w:pStyle w:val="Default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D53722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Breve descripción y valoración del cumplimento de los estándares:</w:t>
            </w:r>
          </w:p>
          <w:p w:rsidR="001C26AF" w:rsidRPr="00D53722" w:rsidRDefault="001C26AF" w:rsidP="00E5730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C26AF" w:rsidRPr="00D53722" w:rsidRDefault="001C26AF" w:rsidP="00E5730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F2430" w:rsidRPr="00D53722" w:rsidRDefault="004F2430" w:rsidP="004F243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F2430">
              <w:rPr>
                <w:rFonts w:asciiTheme="minorHAnsi" w:hAnsiTheme="minorHAnsi"/>
                <w:i/>
                <w:sz w:val="22"/>
                <w:szCs w:val="22"/>
              </w:rPr>
              <w:t>Listado de evidencias:</w:t>
            </w:r>
          </w:p>
          <w:p w:rsidR="001C26AF" w:rsidRPr="00D53722" w:rsidRDefault="001C26AF" w:rsidP="00E57306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E759D" w:rsidRDefault="000E759D">
      <w:pPr>
        <w:rPr>
          <w:i/>
        </w:rPr>
      </w:pPr>
      <w:r>
        <w:rPr>
          <w:i/>
        </w:rPr>
        <w:br w:type="page"/>
      </w:r>
    </w:p>
    <w:p w:rsidR="000E759D" w:rsidRDefault="000E759D" w:rsidP="000E759D">
      <w:pPr>
        <w:pStyle w:val="Prrafodelista"/>
        <w:jc w:val="both"/>
        <w:rPr>
          <w:i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46B37" w:rsidTr="00446B37">
        <w:trPr>
          <w:trHeight w:val="116"/>
        </w:trPr>
        <w:tc>
          <w:tcPr>
            <w:tcW w:w="9180" w:type="dxa"/>
            <w:shd w:val="clear" w:color="auto" w:fill="B8CCE4" w:themeFill="accent1" w:themeFillTint="66"/>
          </w:tcPr>
          <w:p w:rsidR="00446B37" w:rsidRDefault="00446B37" w:rsidP="00446B3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4. Resultados del programa formativo.</w:t>
            </w:r>
          </w:p>
        </w:tc>
      </w:tr>
      <w:tr w:rsidR="00446B37" w:rsidRPr="00AC0A7B" w:rsidTr="00446B37">
        <w:trPr>
          <w:trHeight w:val="96"/>
        </w:trPr>
        <w:tc>
          <w:tcPr>
            <w:tcW w:w="9180" w:type="dxa"/>
          </w:tcPr>
          <w:p w:rsidR="00446B37" w:rsidRPr="00D53722" w:rsidRDefault="00446B37" w:rsidP="00446B37">
            <w:pPr>
              <w:spacing w:after="0"/>
              <w:ind w:left="357"/>
              <w:jc w:val="both"/>
            </w:pPr>
            <w:r w:rsidRPr="00D53722">
              <w:t>Se ha realizado un análisis de los principales datos y resultados de la implantación del título y se ha valorado su evolución. Los resultados se adecúan a las previsiones y características del título.</w:t>
            </w:r>
          </w:p>
        </w:tc>
      </w:tr>
    </w:tbl>
    <w:p w:rsidR="006E2031" w:rsidRDefault="006E2031" w:rsidP="006E2031">
      <w:pPr>
        <w:pStyle w:val="Default"/>
        <w:jc w:val="both"/>
        <w:rPr>
          <w:b/>
          <w:bCs/>
          <w:sz w:val="20"/>
          <w:szCs w:val="20"/>
        </w:rPr>
      </w:pPr>
    </w:p>
    <w:p w:rsidR="006E2031" w:rsidRPr="00AD6E98" w:rsidRDefault="006E2031" w:rsidP="006E2031">
      <w:pPr>
        <w:pStyle w:val="Default"/>
        <w:jc w:val="both"/>
        <w:rPr>
          <w:b/>
          <w:bCs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46B37" w:rsidTr="00446B37">
        <w:trPr>
          <w:trHeight w:val="96"/>
        </w:trPr>
        <w:tc>
          <w:tcPr>
            <w:tcW w:w="9180" w:type="dxa"/>
          </w:tcPr>
          <w:p w:rsidR="00446B37" w:rsidRDefault="00446B37" w:rsidP="00446B37">
            <w:pPr>
              <w:pStyle w:val="Default"/>
              <w:numPr>
                <w:ilvl w:val="1"/>
                <w:numId w:val="25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AD6E98">
              <w:rPr>
                <w:b/>
                <w:bCs/>
                <w:sz w:val="20"/>
                <w:szCs w:val="20"/>
              </w:rPr>
              <w:t>Consecución de los resultados de aprendizaje previstos</w:t>
            </w:r>
          </w:p>
        </w:tc>
      </w:tr>
      <w:tr w:rsidR="00446B37" w:rsidRPr="00CF340F" w:rsidTr="00446B37">
        <w:trPr>
          <w:trHeight w:val="96"/>
        </w:trPr>
        <w:tc>
          <w:tcPr>
            <w:tcW w:w="9180" w:type="dxa"/>
          </w:tcPr>
          <w:p w:rsidR="00446B37" w:rsidRPr="00D53722" w:rsidRDefault="00446B37" w:rsidP="00446B3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53722">
              <w:rPr>
                <w:rFonts w:asciiTheme="minorHAnsi" w:hAnsiTheme="minorHAnsi"/>
                <w:sz w:val="22"/>
                <w:szCs w:val="22"/>
              </w:rPr>
              <w:t xml:space="preserve">Estándares: </w:t>
            </w:r>
          </w:p>
          <w:p w:rsidR="00446B37" w:rsidRPr="00D53722" w:rsidRDefault="00446B37" w:rsidP="00446B37">
            <w:pPr>
              <w:pStyle w:val="Prrafodelista"/>
              <w:numPr>
                <w:ilvl w:val="0"/>
                <w:numId w:val="18"/>
              </w:numPr>
              <w:jc w:val="both"/>
            </w:pPr>
            <w:r w:rsidRPr="00D53722">
              <w:t xml:space="preserve">La institución garantiza que los resultados de aprendizaje son públicos y comprensibles. </w:t>
            </w:r>
          </w:p>
          <w:p w:rsidR="00446B37" w:rsidRPr="00D53722" w:rsidRDefault="00446B37" w:rsidP="00446B37">
            <w:pPr>
              <w:pStyle w:val="Prrafodelista"/>
              <w:numPr>
                <w:ilvl w:val="0"/>
                <w:numId w:val="18"/>
              </w:numPr>
              <w:jc w:val="both"/>
            </w:pPr>
            <w:r w:rsidRPr="00D53722">
              <w:t>Se han puesto en marcha mecanismos para analizar si los estudiantes alcanzan las competencias definidas en la memoria de verificación.</w:t>
            </w:r>
          </w:p>
          <w:p w:rsidR="00446B37" w:rsidRPr="00D53722" w:rsidRDefault="00446B37" w:rsidP="00446B37">
            <w:pPr>
              <w:pStyle w:val="Prrafodelista"/>
              <w:numPr>
                <w:ilvl w:val="0"/>
                <w:numId w:val="18"/>
              </w:numPr>
              <w:jc w:val="both"/>
            </w:pPr>
            <w:r w:rsidRPr="00D53722">
              <w:t>Las actividades de formación y evaluación son coherentes con los resultados del aprendizaje previstos.</w:t>
            </w:r>
          </w:p>
          <w:p w:rsidR="00446B37" w:rsidRDefault="00446B37" w:rsidP="00446B37">
            <w:pPr>
              <w:pStyle w:val="Prrafodelista"/>
              <w:numPr>
                <w:ilvl w:val="0"/>
                <w:numId w:val="18"/>
              </w:numPr>
              <w:jc w:val="both"/>
            </w:pPr>
            <w:r w:rsidRPr="00D53722">
              <w:t>Los sistemas de evaluación  de las materias o asignaturas permiten una valoración fiable de los resultados del aprendizaje pretendidos y son públicos.</w:t>
            </w:r>
          </w:p>
          <w:p w:rsidR="00446B37" w:rsidRPr="005E39F5" w:rsidRDefault="005E39F5" w:rsidP="005E39F5">
            <w:pPr>
              <w:pStyle w:val="Prrafodelista"/>
              <w:numPr>
                <w:ilvl w:val="0"/>
                <w:numId w:val="18"/>
              </w:numPr>
              <w:jc w:val="both"/>
            </w:pPr>
            <w:r w:rsidRPr="00D53722">
              <w:t>Los resultados de aprendizaje alcanzados por los estudiantes satisfacen los objetivos del programa formativo y los requisitos del nivel de la titulación especificados en el MECES.</w:t>
            </w:r>
          </w:p>
        </w:tc>
      </w:tr>
      <w:tr w:rsidR="00446B37" w:rsidRPr="00CF340F" w:rsidTr="00446B37">
        <w:trPr>
          <w:trHeight w:val="96"/>
        </w:trPr>
        <w:tc>
          <w:tcPr>
            <w:tcW w:w="9180" w:type="dxa"/>
          </w:tcPr>
          <w:p w:rsidR="00446B37" w:rsidRPr="00D53722" w:rsidRDefault="00446B37" w:rsidP="00446B37">
            <w:pPr>
              <w:pStyle w:val="Default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D53722">
              <w:rPr>
                <w:rFonts w:asciiTheme="minorHAnsi" w:hAnsiTheme="minorHAnsi"/>
                <w:i/>
                <w:sz w:val="22"/>
                <w:szCs w:val="22"/>
              </w:rPr>
              <w:t>Breve descripción y valoración del cumplimento de los estándares:</w:t>
            </w:r>
          </w:p>
          <w:p w:rsidR="00446B37" w:rsidRPr="00D53722" w:rsidRDefault="00446B37" w:rsidP="00446B3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46B37" w:rsidRPr="00D53722" w:rsidRDefault="00446B37" w:rsidP="00446B3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F2430" w:rsidRPr="00D53722" w:rsidRDefault="004F2430" w:rsidP="004F243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F2430">
              <w:rPr>
                <w:rFonts w:asciiTheme="minorHAnsi" w:hAnsiTheme="minorHAnsi"/>
                <w:i/>
                <w:sz w:val="22"/>
                <w:szCs w:val="22"/>
              </w:rPr>
              <w:t>Listado de evidencias:</w:t>
            </w:r>
          </w:p>
          <w:p w:rsidR="00446B37" w:rsidRPr="00D53722" w:rsidRDefault="00446B37" w:rsidP="00446B3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46B37" w:rsidRPr="00CF340F" w:rsidTr="00446B37">
        <w:trPr>
          <w:trHeight w:val="96"/>
        </w:trPr>
        <w:tc>
          <w:tcPr>
            <w:tcW w:w="9180" w:type="dxa"/>
          </w:tcPr>
          <w:p w:rsidR="00446B37" w:rsidRPr="00D53722" w:rsidRDefault="00446B37" w:rsidP="00446B37">
            <w:pPr>
              <w:pStyle w:val="Defaul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53722">
              <w:rPr>
                <w:rFonts w:asciiTheme="minorHAnsi" w:hAnsiTheme="minorHAnsi"/>
                <w:b/>
                <w:sz w:val="22"/>
                <w:szCs w:val="22"/>
              </w:rPr>
              <w:t>Pautas para la evaluación de los resultados de aprendizaje previstos:</w:t>
            </w:r>
          </w:p>
          <w:p w:rsidR="006E2031" w:rsidRPr="00D53722" w:rsidRDefault="006E2031" w:rsidP="00446B3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46B37" w:rsidRPr="00D53722" w:rsidRDefault="006E2031" w:rsidP="00446B3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53722">
              <w:rPr>
                <w:rFonts w:asciiTheme="minorHAnsi" w:hAnsiTheme="minorHAnsi"/>
                <w:sz w:val="22"/>
                <w:szCs w:val="22"/>
              </w:rPr>
              <w:t>Esta evaluación se basará</w:t>
            </w:r>
            <w:r w:rsidR="00057B39" w:rsidRPr="00D53722">
              <w:rPr>
                <w:rFonts w:asciiTheme="minorHAnsi" w:hAnsiTheme="minorHAnsi"/>
                <w:sz w:val="22"/>
                <w:szCs w:val="22"/>
              </w:rPr>
              <w:t>, entre otras evidencias,</w:t>
            </w:r>
            <w:r w:rsidRPr="00D53722">
              <w:rPr>
                <w:rFonts w:asciiTheme="minorHAnsi" w:hAnsiTheme="minorHAnsi"/>
                <w:sz w:val="22"/>
                <w:szCs w:val="22"/>
              </w:rPr>
              <w:t xml:space="preserve"> en una selección de trabajos fin de grado/máster (TFG/TFM), así como de informes de prácticas externas (en el caso de que éstas sean obligatorias en el título). Para su selección, se indican a continuación las pautas que se seguirán:</w:t>
            </w:r>
          </w:p>
          <w:p w:rsidR="006E2031" w:rsidRPr="00D53722" w:rsidRDefault="006E2031" w:rsidP="00446B3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6E2031" w:rsidRPr="00D53722" w:rsidRDefault="006E2031" w:rsidP="006E2031">
            <w:pPr>
              <w:pStyle w:val="Default"/>
              <w:numPr>
                <w:ilvl w:val="0"/>
                <w:numId w:val="2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53722">
              <w:rPr>
                <w:rFonts w:asciiTheme="minorHAnsi" w:hAnsiTheme="minorHAnsi"/>
                <w:sz w:val="22"/>
                <w:szCs w:val="22"/>
              </w:rPr>
              <w:t xml:space="preserve">La Universidad facilitará, junto con el </w:t>
            </w:r>
            <w:proofErr w:type="spellStart"/>
            <w:r w:rsidRPr="00D53722">
              <w:rPr>
                <w:rFonts w:asciiTheme="minorHAnsi" w:hAnsiTheme="minorHAnsi"/>
                <w:sz w:val="22"/>
                <w:szCs w:val="22"/>
              </w:rPr>
              <w:t>Autoinforme</w:t>
            </w:r>
            <w:proofErr w:type="spellEnd"/>
            <w:r w:rsidRPr="00D53722">
              <w:rPr>
                <w:rFonts w:asciiTheme="minorHAnsi" w:hAnsiTheme="minorHAnsi"/>
                <w:sz w:val="22"/>
                <w:szCs w:val="22"/>
              </w:rPr>
              <w:t xml:space="preserve">, un listado de los </w:t>
            </w:r>
            <w:r w:rsidR="00062051">
              <w:rPr>
                <w:rFonts w:asciiTheme="minorHAnsi" w:hAnsiTheme="minorHAnsi"/>
                <w:sz w:val="22"/>
                <w:szCs w:val="22"/>
              </w:rPr>
              <w:t xml:space="preserve">egresados </w:t>
            </w:r>
            <w:r w:rsidRPr="00D53722">
              <w:rPr>
                <w:rFonts w:asciiTheme="minorHAnsi" w:hAnsiTheme="minorHAnsi"/>
                <w:sz w:val="22"/>
                <w:szCs w:val="22"/>
              </w:rPr>
              <w:t xml:space="preserve">del título en los dos últimos años académicos. Este listado contendrá, como mínimo: estudiante, fecha de graduación, </w:t>
            </w:r>
            <w:r w:rsidR="00057B39" w:rsidRPr="00D53722">
              <w:rPr>
                <w:rFonts w:asciiTheme="minorHAnsi" w:hAnsiTheme="minorHAnsi"/>
                <w:sz w:val="22"/>
                <w:szCs w:val="22"/>
              </w:rPr>
              <w:t xml:space="preserve">centro, </w:t>
            </w:r>
            <w:r w:rsidRPr="00D53722">
              <w:rPr>
                <w:rFonts w:asciiTheme="minorHAnsi" w:hAnsiTheme="minorHAnsi"/>
                <w:sz w:val="22"/>
                <w:szCs w:val="22"/>
              </w:rPr>
              <w:t>modalidad de estudio, nota media final y nota obtenida en el TFG/TFM.</w:t>
            </w:r>
          </w:p>
          <w:p w:rsidR="006E2031" w:rsidRPr="00D53722" w:rsidRDefault="006E2031" w:rsidP="006E2031">
            <w:pPr>
              <w:pStyle w:val="Default"/>
              <w:numPr>
                <w:ilvl w:val="0"/>
                <w:numId w:val="2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53722">
              <w:rPr>
                <w:rFonts w:asciiTheme="minorHAnsi" w:hAnsiTheme="minorHAnsi"/>
                <w:sz w:val="22"/>
                <w:szCs w:val="22"/>
              </w:rPr>
              <w:t xml:space="preserve">Previamente a la visita, </w:t>
            </w:r>
            <w:r w:rsidR="00057B39" w:rsidRPr="00D53722">
              <w:rPr>
                <w:rFonts w:asciiTheme="minorHAnsi" w:hAnsiTheme="minorHAnsi"/>
                <w:sz w:val="22"/>
                <w:szCs w:val="22"/>
              </w:rPr>
              <w:t xml:space="preserve">el Comité de Evaluación seleccionará, de forma diferenciada en función de las notas obtenidas, </w:t>
            </w:r>
            <w:r w:rsidR="00100DE9" w:rsidRPr="00D53722">
              <w:rPr>
                <w:rFonts w:asciiTheme="minorHAnsi" w:hAnsiTheme="minorHAnsi"/>
                <w:sz w:val="22"/>
                <w:szCs w:val="22"/>
              </w:rPr>
              <w:t>12</w:t>
            </w:r>
            <w:r w:rsidR="00057B39" w:rsidRPr="00D53722">
              <w:rPr>
                <w:rFonts w:asciiTheme="minorHAnsi" w:hAnsiTheme="minorHAnsi"/>
                <w:sz w:val="22"/>
                <w:szCs w:val="22"/>
              </w:rPr>
              <w:t xml:space="preserve"> expedientes correspondientes a la modalidad principal en la que se imparte el título (presencial, semipresencial,…).</w:t>
            </w:r>
          </w:p>
          <w:p w:rsidR="00057B39" w:rsidRPr="00D53722" w:rsidRDefault="00057B39" w:rsidP="006E2031">
            <w:pPr>
              <w:pStyle w:val="Default"/>
              <w:numPr>
                <w:ilvl w:val="0"/>
                <w:numId w:val="2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53722">
              <w:rPr>
                <w:rFonts w:asciiTheme="minorHAnsi" w:hAnsiTheme="minorHAnsi"/>
                <w:sz w:val="22"/>
                <w:szCs w:val="22"/>
              </w:rPr>
              <w:t xml:space="preserve">Adicionalmente, se seleccionará un número de expedientes del resto de posibles modalidades, de forma que se respete la proporción existente entre el número de </w:t>
            </w:r>
            <w:r w:rsidR="00062051">
              <w:rPr>
                <w:rFonts w:asciiTheme="minorHAnsi" w:hAnsiTheme="minorHAnsi"/>
                <w:sz w:val="22"/>
                <w:szCs w:val="22"/>
              </w:rPr>
              <w:t>titulados</w:t>
            </w:r>
            <w:r w:rsidRPr="00D53722">
              <w:rPr>
                <w:rFonts w:asciiTheme="minorHAnsi" w:hAnsiTheme="minorHAnsi"/>
                <w:sz w:val="22"/>
                <w:szCs w:val="22"/>
              </w:rPr>
              <w:t xml:space="preserve"> en cada modalidad y teniendo en cuenta igualmente la nota obtenida.</w:t>
            </w:r>
          </w:p>
          <w:p w:rsidR="00057B39" w:rsidRPr="00D53722" w:rsidRDefault="00057B39" w:rsidP="006E2031">
            <w:pPr>
              <w:pStyle w:val="Default"/>
              <w:numPr>
                <w:ilvl w:val="0"/>
                <w:numId w:val="2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53722">
              <w:rPr>
                <w:rFonts w:asciiTheme="minorHAnsi" w:hAnsiTheme="minorHAnsi"/>
                <w:sz w:val="22"/>
                <w:szCs w:val="22"/>
              </w:rPr>
              <w:t>La diferenciación en función de las notas obtenidas tendrá en cuenta tres grupos: 5-6,</w:t>
            </w:r>
            <w:r w:rsidR="00100DE9" w:rsidRPr="00D53722">
              <w:rPr>
                <w:rFonts w:asciiTheme="minorHAnsi" w:hAnsiTheme="minorHAnsi"/>
                <w:sz w:val="22"/>
                <w:szCs w:val="22"/>
              </w:rPr>
              <w:t>9</w:t>
            </w:r>
            <w:r w:rsidRPr="00D53722">
              <w:rPr>
                <w:rFonts w:asciiTheme="minorHAnsi" w:hAnsiTheme="minorHAnsi"/>
                <w:sz w:val="22"/>
                <w:szCs w:val="22"/>
              </w:rPr>
              <w:t>; 7-8,</w:t>
            </w:r>
            <w:r w:rsidR="00100DE9" w:rsidRPr="00D53722">
              <w:rPr>
                <w:rFonts w:asciiTheme="minorHAnsi" w:hAnsiTheme="minorHAnsi"/>
                <w:sz w:val="22"/>
                <w:szCs w:val="22"/>
              </w:rPr>
              <w:t>9</w:t>
            </w:r>
            <w:r w:rsidRPr="00D53722">
              <w:rPr>
                <w:rFonts w:asciiTheme="minorHAnsi" w:hAnsiTheme="minorHAnsi"/>
                <w:sz w:val="22"/>
                <w:szCs w:val="22"/>
              </w:rPr>
              <w:t xml:space="preserve"> y superior a 8,</w:t>
            </w:r>
            <w:r w:rsidR="00100DE9" w:rsidRPr="00D53722">
              <w:rPr>
                <w:rFonts w:asciiTheme="minorHAnsi" w:hAnsiTheme="minorHAnsi"/>
                <w:sz w:val="22"/>
                <w:szCs w:val="22"/>
              </w:rPr>
              <w:t>9</w:t>
            </w:r>
            <w:r w:rsidRPr="00D5372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57B39" w:rsidRPr="00D53722" w:rsidRDefault="00100DE9" w:rsidP="006E2031">
            <w:pPr>
              <w:pStyle w:val="Default"/>
              <w:numPr>
                <w:ilvl w:val="0"/>
                <w:numId w:val="26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53722">
              <w:rPr>
                <w:rFonts w:asciiTheme="minorHAnsi" w:hAnsiTheme="minorHAnsi"/>
                <w:sz w:val="22"/>
                <w:szCs w:val="22"/>
              </w:rPr>
              <w:t xml:space="preserve">Una vez realizada la selección y comunicada ésta a la Universidad, las muestras de </w:t>
            </w:r>
            <w:r w:rsidR="00062051">
              <w:rPr>
                <w:rFonts w:asciiTheme="minorHAnsi" w:hAnsiTheme="minorHAnsi"/>
                <w:sz w:val="22"/>
                <w:szCs w:val="22"/>
              </w:rPr>
              <w:t xml:space="preserve">realizaciones </w:t>
            </w:r>
            <w:r w:rsidRPr="00D53722">
              <w:rPr>
                <w:rFonts w:asciiTheme="minorHAnsi" w:hAnsiTheme="minorHAnsi"/>
                <w:sz w:val="22"/>
                <w:szCs w:val="22"/>
              </w:rPr>
              <w:t xml:space="preserve"> de los estudiantes (TFG/TFM y, en su caso, informes de prácticas externas) se pondrán a disposición del Comité a través del Gestor documental de ACSUCYL.</w:t>
            </w:r>
          </w:p>
          <w:p w:rsidR="006E2031" w:rsidRPr="00D53722" w:rsidRDefault="006E2031" w:rsidP="00446B3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00DE9" w:rsidRPr="00D53722" w:rsidRDefault="00100DE9" w:rsidP="00446B37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53722">
              <w:rPr>
                <w:rFonts w:asciiTheme="minorHAnsi" w:hAnsiTheme="minorHAnsi"/>
                <w:sz w:val="22"/>
                <w:szCs w:val="22"/>
              </w:rPr>
              <w:t>Observaci</w:t>
            </w:r>
            <w:r w:rsidR="00705EF7">
              <w:rPr>
                <w:rFonts w:asciiTheme="minorHAnsi" w:hAnsiTheme="minorHAnsi"/>
                <w:sz w:val="22"/>
                <w:szCs w:val="22"/>
              </w:rPr>
              <w:t>o</w:t>
            </w:r>
            <w:r w:rsidRPr="00D53722">
              <w:rPr>
                <w:rFonts w:asciiTheme="minorHAnsi" w:hAnsiTheme="minorHAnsi"/>
                <w:sz w:val="22"/>
                <w:szCs w:val="22"/>
              </w:rPr>
              <w:t>n</w:t>
            </w:r>
            <w:r w:rsidR="00705EF7">
              <w:rPr>
                <w:rFonts w:asciiTheme="minorHAnsi" w:hAnsiTheme="minorHAnsi"/>
                <w:sz w:val="22"/>
                <w:szCs w:val="22"/>
              </w:rPr>
              <w:t>es</w:t>
            </w:r>
            <w:r w:rsidRPr="00D53722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100DE9" w:rsidRDefault="00100DE9" w:rsidP="00062051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53722">
              <w:rPr>
                <w:rFonts w:asciiTheme="minorHAnsi" w:hAnsiTheme="minorHAnsi"/>
                <w:sz w:val="22"/>
                <w:szCs w:val="22"/>
              </w:rPr>
              <w:t xml:space="preserve">Si el número de </w:t>
            </w:r>
            <w:r w:rsidR="00062051">
              <w:rPr>
                <w:rFonts w:asciiTheme="minorHAnsi" w:hAnsiTheme="minorHAnsi"/>
                <w:sz w:val="22"/>
                <w:szCs w:val="22"/>
              </w:rPr>
              <w:t>egresados</w:t>
            </w:r>
            <w:r w:rsidRPr="00D53722">
              <w:rPr>
                <w:rFonts w:asciiTheme="minorHAnsi" w:hAnsiTheme="minorHAnsi"/>
                <w:sz w:val="22"/>
                <w:szCs w:val="22"/>
              </w:rPr>
              <w:t xml:space="preserve"> en los dos últimos años académicos es menor de 30, se facilitará un </w:t>
            </w:r>
            <w:r w:rsidRPr="00D53722">
              <w:rPr>
                <w:rFonts w:asciiTheme="minorHAnsi" w:hAnsiTheme="minorHAnsi"/>
                <w:sz w:val="22"/>
                <w:szCs w:val="22"/>
              </w:rPr>
              <w:lastRenderedPageBreak/>
              <w:t>listado con los últimos 30 graduados del título.</w:t>
            </w:r>
          </w:p>
          <w:p w:rsidR="00062051" w:rsidRPr="00446B37" w:rsidRDefault="00062051" w:rsidP="00062051">
            <w:pPr>
              <w:pStyle w:val="Default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 el caso de que se haya impartido Curso de Adaptación al Grado, se seguirán las anteriores pautas, a partir del listado específico de graduados que lo hayan cursado.</w:t>
            </w:r>
          </w:p>
        </w:tc>
      </w:tr>
    </w:tbl>
    <w:p w:rsidR="000E759D" w:rsidRDefault="000E759D" w:rsidP="000E759D">
      <w:pPr>
        <w:pStyle w:val="Prrafodelista"/>
        <w:jc w:val="both"/>
        <w:rPr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632C5" w:rsidTr="009632C5">
        <w:trPr>
          <w:trHeight w:val="96"/>
        </w:trPr>
        <w:tc>
          <w:tcPr>
            <w:tcW w:w="9180" w:type="dxa"/>
          </w:tcPr>
          <w:p w:rsidR="009632C5" w:rsidRDefault="009632C5" w:rsidP="009632C5">
            <w:pPr>
              <w:pStyle w:val="Default"/>
              <w:numPr>
                <w:ilvl w:val="1"/>
                <w:numId w:val="25"/>
              </w:num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Evolución de los indicadores del título</w:t>
            </w:r>
          </w:p>
        </w:tc>
      </w:tr>
      <w:tr w:rsidR="009632C5" w:rsidRPr="00CF340F" w:rsidTr="009632C5">
        <w:trPr>
          <w:trHeight w:val="96"/>
        </w:trPr>
        <w:tc>
          <w:tcPr>
            <w:tcW w:w="9180" w:type="dxa"/>
          </w:tcPr>
          <w:p w:rsidR="009632C5" w:rsidRPr="00D53722" w:rsidRDefault="009632C5" w:rsidP="009632C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53722">
              <w:rPr>
                <w:rFonts w:asciiTheme="minorHAnsi" w:hAnsiTheme="minorHAnsi"/>
                <w:sz w:val="22"/>
                <w:szCs w:val="22"/>
              </w:rPr>
              <w:t xml:space="preserve">Estándares: </w:t>
            </w:r>
          </w:p>
          <w:p w:rsidR="009632C5" w:rsidRDefault="009632C5" w:rsidP="009632C5">
            <w:pPr>
              <w:pStyle w:val="Prrafodelista"/>
              <w:numPr>
                <w:ilvl w:val="0"/>
                <w:numId w:val="19"/>
              </w:numPr>
              <w:jc w:val="both"/>
            </w:pPr>
            <w:r w:rsidRPr="00D53722">
              <w:t>La evolución de los principales datos e indicadores del título es adecuada a la tipología de los estudiantes, de acuerdo con el ámbito temático y el entorno en el que se inserta el título.</w:t>
            </w:r>
          </w:p>
          <w:p w:rsidR="009632C5" w:rsidRPr="00D53722" w:rsidRDefault="00F91A6D" w:rsidP="00F91A6D">
            <w:pPr>
              <w:pStyle w:val="Prrafodelista"/>
              <w:numPr>
                <w:ilvl w:val="0"/>
                <w:numId w:val="19"/>
              </w:numPr>
              <w:jc w:val="both"/>
              <w:rPr>
                <w:rFonts w:cs="Arial"/>
              </w:rPr>
            </w:pPr>
            <w:r w:rsidRPr="00D53722">
              <w:t>La evolución de los indicadores es coherente con las previsiones establecidas en la memoria verificada</w:t>
            </w:r>
            <w:r>
              <w:t>.</w:t>
            </w:r>
          </w:p>
        </w:tc>
      </w:tr>
      <w:tr w:rsidR="009632C5" w:rsidRPr="00CF340F" w:rsidTr="009632C5">
        <w:trPr>
          <w:trHeight w:val="96"/>
        </w:trPr>
        <w:tc>
          <w:tcPr>
            <w:tcW w:w="9180" w:type="dxa"/>
          </w:tcPr>
          <w:p w:rsidR="009632C5" w:rsidRPr="00D53722" w:rsidRDefault="009632C5" w:rsidP="009632C5">
            <w:pPr>
              <w:pStyle w:val="Default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D53722">
              <w:rPr>
                <w:rFonts w:asciiTheme="minorHAnsi" w:hAnsiTheme="minorHAnsi"/>
                <w:i/>
                <w:sz w:val="22"/>
                <w:szCs w:val="22"/>
              </w:rPr>
              <w:t>Breve descripción y valoración del cumplimento de los estándares:</w:t>
            </w:r>
          </w:p>
          <w:p w:rsidR="009632C5" w:rsidRPr="00D53722" w:rsidRDefault="009632C5" w:rsidP="009632C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632C5" w:rsidRPr="00D53722" w:rsidRDefault="009632C5" w:rsidP="009632C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F2430" w:rsidRPr="00D53722" w:rsidRDefault="004F2430" w:rsidP="004F243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F2430">
              <w:rPr>
                <w:rFonts w:asciiTheme="minorHAnsi" w:hAnsiTheme="minorHAnsi"/>
                <w:i/>
                <w:sz w:val="22"/>
                <w:szCs w:val="22"/>
              </w:rPr>
              <w:t>Listado de evidencias:</w:t>
            </w:r>
          </w:p>
          <w:p w:rsidR="009632C5" w:rsidRPr="00D53722" w:rsidRDefault="009632C5" w:rsidP="009632C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632C5" w:rsidRPr="001A3B45" w:rsidRDefault="009632C5" w:rsidP="000E759D">
      <w:pPr>
        <w:pStyle w:val="Prrafodelista"/>
        <w:jc w:val="both"/>
        <w:rPr>
          <w:b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632C5" w:rsidTr="009632C5">
        <w:trPr>
          <w:trHeight w:val="96"/>
        </w:trPr>
        <w:tc>
          <w:tcPr>
            <w:tcW w:w="9180" w:type="dxa"/>
          </w:tcPr>
          <w:p w:rsidR="009632C5" w:rsidRDefault="009632C5" w:rsidP="009632C5">
            <w:pPr>
              <w:pStyle w:val="Default"/>
              <w:numPr>
                <w:ilvl w:val="1"/>
                <w:numId w:val="25"/>
              </w:num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Inserción laboral</w:t>
            </w:r>
          </w:p>
        </w:tc>
      </w:tr>
      <w:tr w:rsidR="009632C5" w:rsidRPr="00CF340F" w:rsidTr="009632C5">
        <w:trPr>
          <w:trHeight w:val="96"/>
        </w:trPr>
        <w:tc>
          <w:tcPr>
            <w:tcW w:w="9180" w:type="dxa"/>
          </w:tcPr>
          <w:p w:rsidR="009632C5" w:rsidRPr="00D53722" w:rsidRDefault="009632C5" w:rsidP="009632C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53722">
              <w:rPr>
                <w:rFonts w:asciiTheme="minorHAnsi" w:hAnsiTheme="minorHAnsi"/>
                <w:sz w:val="22"/>
                <w:szCs w:val="22"/>
              </w:rPr>
              <w:t xml:space="preserve">Estándares: </w:t>
            </w:r>
          </w:p>
          <w:p w:rsidR="009632C5" w:rsidRPr="00D53722" w:rsidRDefault="009632C5" w:rsidP="009632C5">
            <w:pPr>
              <w:pStyle w:val="Prrafodelista"/>
              <w:numPr>
                <w:ilvl w:val="0"/>
                <w:numId w:val="20"/>
              </w:numPr>
              <w:ind w:left="360"/>
              <w:jc w:val="both"/>
            </w:pPr>
            <w:r w:rsidRPr="00D53722">
              <w:t>Se dispone de mecanismos para analizar y valorar:</w:t>
            </w:r>
          </w:p>
          <w:p w:rsidR="009632C5" w:rsidRPr="00D53722" w:rsidRDefault="009632C5" w:rsidP="009632C5">
            <w:pPr>
              <w:pStyle w:val="Prrafodelista"/>
              <w:numPr>
                <w:ilvl w:val="1"/>
                <w:numId w:val="21"/>
              </w:numPr>
              <w:ind w:left="872"/>
              <w:jc w:val="both"/>
            </w:pPr>
            <w:r w:rsidRPr="00D53722">
              <w:t>El grado y calidad de la inserción laboral de los graduados</w:t>
            </w:r>
            <w:r w:rsidR="00F91A6D">
              <w:t>.</w:t>
            </w:r>
            <w:r w:rsidRPr="00D53722">
              <w:t xml:space="preserve"> </w:t>
            </w:r>
          </w:p>
          <w:p w:rsidR="009632C5" w:rsidRPr="00D53722" w:rsidRDefault="009632C5" w:rsidP="009632C5">
            <w:pPr>
              <w:pStyle w:val="Prrafodelista"/>
              <w:numPr>
                <w:ilvl w:val="1"/>
                <w:numId w:val="21"/>
              </w:numPr>
              <w:ind w:left="872"/>
              <w:jc w:val="both"/>
            </w:pPr>
            <w:r w:rsidRPr="00D53722">
              <w:t>La adecuación del título a las necesidades socioeconómicas</w:t>
            </w:r>
            <w:r w:rsidR="00F91A6D">
              <w:t>.</w:t>
            </w:r>
          </w:p>
          <w:p w:rsidR="009632C5" w:rsidRPr="00D53722" w:rsidRDefault="009632C5" w:rsidP="009632C5">
            <w:pPr>
              <w:pStyle w:val="Prrafodelista"/>
              <w:numPr>
                <w:ilvl w:val="1"/>
                <w:numId w:val="22"/>
              </w:numPr>
              <w:ind w:left="872"/>
              <w:jc w:val="both"/>
            </w:pPr>
            <w:r w:rsidRPr="00D53722">
              <w:t>La adecuación del título a las necesidades y requisitos de la profesión</w:t>
            </w:r>
            <w:r w:rsidR="00F91A6D">
              <w:t>.</w:t>
            </w:r>
          </w:p>
          <w:p w:rsidR="009632C5" w:rsidRPr="00F91A6D" w:rsidRDefault="009632C5" w:rsidP="00F91A6D">
            <w:pPr>
              <w:pStyle w:val="Prrafodelista"/>
              <w:numPr>
                <w:ilvl w:val="0"/>
                <w:numId w:val="20"/>
              </w:numPr>
              <w:ind w:left="360"/>
              <w:jc w:val="both"/>
            </w:pPr>
            <w:r w:rsidRPr="00D53722">
              <w:t>La evolución de los indicadores de inserción laboral es adecuada considerando el contexto socioeconómico y las características del título</w:t>
            </w:r>
            <w:r w:rsidR="00F91A6D">
              <w:t>.</w:t>
            </w:r>
          </w:p>
        </w:tc>
      </w:tr>
      <w:tr w:rsidR="009632C5" w:rsidRPr="00CF340F" w:rsidTr="009632C5">
        <w:trPr>
          <w:trHeight w:val="96"/>
        </w:trPr>
        <w:tc>
          <w:tcPr>
            <w:tcW w:w="9180" w:type="dxa"/>
          </w:tcPr>
          <w:p w:rsidR="009632C5" w:rsidRPr="00D53722" w:rsidRDefault="009632C5" w:rsidP="009632C5">
            <w:pPr>
              <w:pStyle w:val="Default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D53722">
              <w:rPr>
                <w:rFonts w:asciiTheme="minorHAnsi" w:hAnsiTheme="minorHAnsi"/>
                <w:i/>
                <w:sz w:val="22"/>
                <w:szCs w:val="22"/>
              </w:rPr>
              <w:t>Breve descripción y valoración del cumplimento de los estándares:</w:t>
            </w:r>
          </w:p>
          <w:p w:rsidR="009632C5" w:rsidRPr="00D53722" w:rsidRDefault="009632C5" w:rsidP="009632C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632C5" w:rsidRPr="00D53722" w:rsidRDefault="009632C5" w:rsidP="009632C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F2430" w:rsidRPr="00D53722" w:rsidRDefault="004F2430" w:rsidP="004F243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F2430">
              <w:rPr>
                <w:rFonts w:asciiTheme="minorHAnsi" w:hAnsiTheme="minorHAnsi"/>
                <w:i/>
                <w:sz w:val="22"/>
                <w:szCs w:val="22"/>
              </w:rPr>
              <w:t>Listado de evidencias:</w:t>
            </w:r>
          </w:p>
          <w:p w:rsidR="009632C5" w:rsidRPr="00D53722" w:rsidRDefault="009632C5" w:rsidP="009632C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C7164" w:rsidRPr="00436215" w:rsidRDefault="000C7164" w:rsidP="00436215">
      <w:pPr>
        <w:jc w:val="both"/>
        <w:rPr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632C5" w:rsidTr="009632C5">
        <w:trPr>
          <w:trHeight w:val="96"/>
        </w:trPr>
        <w:tc>
          <w:tcPr>
            <w:tcW w:w="9180" w:type="dxa"/>
          </w:tcPr>
          <w:p w:rsidR="009632C5" w:rsidRDefault="009632C5" w:rsidP="009632C5">
            <w:pPr>
              <w:pStyle w:val="Default"/>
              <w:numPr>
                <w:ilvl w:val="1"/>
                <w:numId w:val="25"/>
              </w:num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Satisfacción de los agentes implicados</w:t>
            </w:r>
          </w:p>
        </w:tc>
      </w:tr>
      <w:tr w:rsidR="009632C5" w:rsidRPr="00CF340F" w:rsidTr="009632C5">
        <w:trPr>
          <w:trHeight w:val="96"/>
        </w:trPr>
        <w:tc>
          <w:tcPr>
            <w:tcW w:w="9180" w:type="dxa"/>
          </w:tcPr>
          <w:p w:rsidR="009632C5" w:rsidRPr="00D53722" w:rsidRDefault="009632C5" w:rsidP="009632C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53722">
              <w:rPr>
                <w:rFonts w:asciiTheme="minorHAnsi" w:hAnsiTheme="minorHAnsi"/>
                <w:sz w:val="22"/>
                <w:szCs w:val="22"/>
              </w:rPr>
              <w:t xml:space="preserve">Estándares: </w:t>
            </w:r>
          </w:p>
          <w:p w:rsidR="009632C5" w:rsidRPr="00D53722" w:rsidRDefault="009632C5" w:rsidP="009632C5">
            <w:pPr>
              <w:pStyle w:val="Prrafodelista"/>
              <w:numPr>
                <w:ilvl w:val="0"/>
                <w:numId w:val="23"/>
              </w:numPr>
              <w:jc w:val="both"/>
            </w:pPr>
            <w:r w:rsidRPr="00D53722">
              <w:t>La satisfacción de los agentes implicados en el desarrollo del título es adecuada.</w:t>
            </w:r>
          </w:p>
          <w:p w:rsidR="009632C5" w:rsidRPr="00D53722" w:rsidRDefault="009632C5" w:rsidP="009632C5">
            <w:pPr>
              <w:pStyle w:val="Prrafodelista"/>
              <w:numPr>
                <w:ilvl w:val="0"/>
                <w:numId w:val="23"/>
              </w:numPr>
              <w:jc w:val="both"/>
            </w:pPr>
            <w:r w:rsidRPr="00D53722">
              <w:t>Se dispone de procedimientos para analizar y valorar periódicamente la satisfacción de estudiantes, profesorado, egresados, empleadores y otros grupos de interés, respecto al diseño, implantación y resultados del título.</w:t>
            </w:r>
          </w:p>
          <w:p w:rsidR="009632C5" w:rsidRPr="00D53722" w:rsidRDefault="009632C5" w:rsidP="009632C5">
            <w:pPr>
              <w:pStyle w:val="Prrafodelista"/>
              <w:numPr>
                <w:ilvl w:val="0"/>
                <w:numId w:val="23"/>
              </w:numPr>
              <w:jc w:val="both"/>
            </w:pPr>
            <w:r w:rsidRPr="00D53722">
              <w:t>Se adoptan medidas para mejorar la satisfacción de los grupos de interés.</w:t>
            </w:r>
          </w:p>
        </w:tc>
      </w:tr>
      <w:tr w:rsidR="009632C5" w:rsidRPr="00CF340F" w:rsidTr="009632C5">
        <w:trPr>
          <w:trHeight w:val="96"/>
        </w:trPr>
        <w:tc>
          <w:tcPr>
            <w:tcW w:w="9180" w:type="dxa"/>
          </w:tcPr>
          <w:p w:rsidR="009632C5" w:rsidRPr="00D53722" w:rsidRDefault="009632C5" w:rsidP="009632C5">
            <w:pPr>
              <w:pStyle w:val="Default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D53722">
              <w:rPr>
                <w:rFonts w:asciiTheme="minorHAnsi" w:hAnsiTheme="minorHAnsi"/>
                <w:i/>
                <w:sz w:val="22"/>
                <w:szCs w:val="22"/>
              </w:rPr>
              <w:t>Breve descripción y valoración del cumplimento de los estándares:</w:t>
            </w:r>
          </w:p>
          <w:p w:rsidR="009632C5" w:rsidRPr="00D53722" w:rsidRDefault="009632C5" w:rsidP="009632C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632C5" w:rsidRPr="00D53722" w:rsidRDefault="009632C5" w:rsidP="009632C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F2430" w:rsidRPr="00D53722" w:rsidRDefault="004F2430" w:rsidP="004F243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F2430">
              <w:rPr>
                <w:rFonts w:asciiTheme="minorHAnsi" w:hAnsiTheme="minorHAnsi"/>
                <w:i/>
                <w:sz w:val="22"/>
                <w:szCs w:val="22"/>
              </w:rPr>
              <w:t>Listado de evidencias:</w:t>
            </w:r>
          </w:p>
          <w:p w:rsidR="009632C5" w:rsidRPr="00D53722" w:rsidRDefault="009632C5" w:rsidP="009632C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36215" w:rsidRDefault="00436215" w:rsidP="005C2FA2">
      <w:pPr>
        <w:suppressAutoHyphens/>
        <w:spacing w:line="240" w:lineRule="auto"/>
        <w:jc w:val="both"/>
        <w:rPr>
          <w:i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632C5" w:rsidTr="009632C5">
        <w:trPr>
          <w:trHeight w:val="96"/>
        </w:trPr>
        <w:tc>
          <w:tcPr>
            <w:tcW w:w="9180" w:type="dxa"/>
          </w:tcPr>
          <w:p w:rsidR="009632C5" w:rsidRDefault="009632C5" w:rsidP="009632C5">
            <w:pPr>
              <w:pStyle w:val="Default"/>
              <w:numPr>
                <w:ilvl w:val="1"/>
                <w:numId w:val="25"/>
              </w:numPr>
              <w:spacing w:before="120" w:after="12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Proyección exterior del título</w:t>
            </w:r>
          </w:p>
        </w:tc>
      </w:tr>
      <w:tr w:rsidR="009632C5" w:rsidRPr="00CF340F" w:rsidTr="009632C5">
        <w:trPr>
          <w:trHeight w:val="96"/>
        </w:trPr>
        <w:tc>
          <w:tcPr>
            <w:tcW w:w="9180" w:type="dxa"/>
          </w:tcPr>
          <w:p w:rsidR="009632C5" w:rsidRPr="00D53722" w:rsidRDefault="009632C5" w:rsidP="009632C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53722">
              <w:rPr>
                <w:rFonts w:asciiTheme="minorHAnsi" w:hAnsiTheme="minorHAnsi"/>
                <w:sz w:val="22"/>
                <w:szCs w:val="22"/>
              </w:rPr>
              <w:t xml:space="preserve">Estándar: </w:t>
            </w:r>
          </w:p>
          <w:p w:rsidR="009632C5" w:rsidRPr="00D53722" w:rsidRDefault="009632C5" w:rsidP="009632C5">
            <w:pPr>
              <w:pStyle w:val="Prrafodelista"/>
              <w:numPr>
                <w:ilvl w:val="0"/>
                <w:numId w:val="23"/>
              </w:numPr>
              <w:jc w:val="both"/>
            </w:pPr>
            <w:r w:rsidRPr="00D53722">
              <w:t>Se fomentan las actividades de internacionalización y la participación en programas de movilidad, que muestran unos resultados adecuados a las características y previsiones del título, en función del número de estudiantes.</w:t>
            </w:r>
          </w:p>
        </w:tc>
      </w:tr>
      <w:tr w:rsidR="009632C5" w:rsidRPr="00CF340F" w:rsidTr="009632C5">
        <w:trPr>
          <w:trHeight w:val="96"/>
        </w:trPr>
        <w:tc>
          <w:tcPr>
            <w:tcW w:w="9180" w:type="dxa"/>
          </w:tcPr>
          <w:p w:rsidR="009632C5" w:rsidRPr="00D53722" w:rsidRDefault="009632C5" w:rsidP="009632C5">
            <w:pPr>
              <w:pStyle w:val="Default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D53722">
              <w:rPr>
                <w:rFonts w:asciiTheme="minorHAnsi" w:hAnsiTheme="minorHAnsi"/>
                <w:i/>
                <w:sz w:val="22"/>
                <w:szCs w:val="22"/>
              </w:rPr>
              <w:t>Breve descripción y valoración del cumplimento del estándar:</w:t>
            </w:r>
          </w:p>
          <w:p w:rsidR="009632C5" w:rsidRPr="00D53722" w:rsidRDefault="009632C5" w:rsidP="009632C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632C5" w:rsidRPr="00D53722" w:rsidRDefault="009632C5" w:rsidP="009632C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4F2430" w:rsidRPr="00D53722" w:rsidRDefault="004F2430" w:rsidP="004F243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F2430">
              <w:rPr>
                <w:rFonts w:asciiTheme="minorHAnsi" w:hAnsiTheme="minorHAnsi"/>
                <w:i/>
                <w:sz w:val="22"/>
                <w:szCs w:val="22"/>
              </w:rPr>
              <w:t>Listado de evidencias:</w:t>
            </w:r>
          </w:p>
          <w:p w:rsidR="009632C5" w:rsidRPr="00D53722" w:rsidRDefault="009632C5" w:rsidP="009632C5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632C5" w:rsidRDefault="009632C5" w:rsidP="005C2FA2">
      <w:pPr>
        <w:suppressAutoHyphens/>
        <w:spacing w:line="240" w:lineRule="auto"/>
        <w:jc w:val="both"/>
        <w:rPr>
          <w:i/>
        </w:rPr>
      </w:pPr>
    </w:p>
    <w:p w:rsidR="000C7164" w:rsidRDefault="000C7164" w:rsidP="005C2FA2">
      <w:pPr>
        <w:suppressAutoHyphens/>
        <w:spacing w:line="240" w:lineRule="auto"/>
        <w:jc w:val="both"/>
        <w:rPr>
          <w:i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632C5" w:rsidTr="009632C5">
        <w:trPr>
          <w:trHeight w:val="116"/>
        </w:trPr>
        <w:tc>
          <w:tcPr>
            <w:tcW w:w="9180" w:type="dxa"/>
            <w:shd w:val="clear" w:color="auto" w:fill="B8CCE4" w:themeFill="accent1" w:themeFillTint="66"/>
          </w:tcPr>
          <w:p w:rsidR="009632C5" w:rsidRDefault="009632C5" w:rsidP="009632C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5. Plan de mejora.</w:t>
            </w:r>
          </w:p>
        </w:tc>
      </w:tr>
      <w:tr w:rsidR="009632C5" w:rsidRPr="00AC0A7B" w:rsidTr="009632C5">
        <w:trPr>
          <w:trHeight w:val="96"/>
        </w:trPr>
        <w:tc>
          <w:tcPr>
            <w:tcW w:w="9180" w:type="dxa"/>
          </w:tcPr>
          <w:p w:rsidR="009632C5" w:rsidRDefault="009632C5" w:rsidP="009632C5">
            <w:pPr>
              <w:spacing w:after="0"/>
              <w:ind w:left="357"/>
              <w:jc w:val="both"/>
              <w:rPr>
                <w:i/>
              </w:rPr>
            </w:pPr>
          </w:p>
          <w:p w:rsidR="009632C5" w:rsidRDefault="009632C5" w:rsidP="009632C5">
            <w:pPr>
              <w:spacing w:after="0"/>
              <w:ind w:left="357"/>
              <w:jc w:val="both"/>
              <w:rPr>
                <w:i/>
              </w:rPr>
            </w:pPr>
            <w:r w:rsidRPr="00EC659A">
              <w:rPr>
                <w:i/>
              </w:rPr>
              <w:t xml:space="preserve">El </w:t>
            </w:r>
            <w:proofErr w:type="spellStart"/>
            <w:r w:rsidRPr="00EC659A">
              <w:rPr>
                <w:i/>
              </w:rPr>
              <w:t>Autoinforme</w:t>
            </w:r>
            <w:proofErr w:type="spellEnd"/>
            <w:r w:rsidRPr="00EC659A">
              <w:rPr>
                <w:i/>
              </w:rPr>
              <w:t xml:space="preserve"> deberá recoger las principales </w:t>
            </w:r>
            <w:r w:rsidRPr="00EC659A">
              <w:rPr>
                <w:b/>
                <w:i/>
              </w:rPr>
              <w:t>áreas de mejora</w:t>
            </w:r>
            <w:r w:rsidRPr="00EC659A">
              <w:rPr>
                <w:i/>
              </w:rPr>
              <w:t xml:space="preserve"> previstas para el </w:t>
            </w:r>
            <w:r w:rsidRPr="004C0334">
              <w:rPr>
                <w:i/>
              </w:rPr>
              <w:t xml:space="preserve">título en los siguientes años, relacionándolas con las fortalezas y debilidades detectadas. Este plan deberá contener los </w:t>
            </w:r>
            <w:r w:rsidRPr="004C0334">
              <w:rPr>
                <w:b/>
                <w:i/>
              </w:rPr>
              <w:t>objetivos perseguidos y las acciones</w:t>
            </w:r>
            <w:r w:rsidRPr="004C0334">
              <w:rPr>
                <w:i/>
              </w:rPr>
              <w:t xml:space="preserve"> previstas para alcanzarlos. Deberán indicarse los </w:t>
            </w:r>
            <w:r w:rsidRPr="004C0334">
              <w:rPr>
                <w:b/>
                <w:i/>
              </w:rPr>
              <w:t>responsables, calendario e</w:t>
            </w:r>
            <w:r w:rsidRPr="00EC659A">
              <w:rPr>
                <w:b/>
                <w:i/>
              </w:rPr>
              <w:t xml:space="preserve"> indicadores de seguimiento</w:t>
            </w:r>
            <w:r w:rsidRPr="00EC659A">
              <w:rPr>
                <w:i/>
              </w:rPr>
              <w:t xml:space="preserve"> de las acciones diseñadas. El formato y estructura de este plan será definido por la Universidad pero atendiendo a las anteriores variables señaladas.</w:t>
            </w:r>
          </w:p>
          <w:p w:rsidR="00F91A6D" w:rsidRPr="00AC0A7B" w:rsidRDefault="00F91A6D" w:rsidP="009632C5">
            <w:pPr>
              <w:spacing w:after="0"/>
              <w:ind w:left="357"/>
              <w:jc w:val="both"/>
              <w:rPr>
                <w:sz w:val="24"/>
                <w:szCs w:val="24"/>
              </w:rPr>
            </w:pPr>
          </w:p>
        </w:tc>
      </w:tr>
    </w:tbl>
    <w:p w:rsidR="009632C5" w:rsidRDefault="009632C5" w:rsidP="005C2FA2">
      <w:pPr>
        <w:spacing w:before="240" w:after="240"/>
        <w:jc w:val="both"/>
        <w:rPr>
          <w:i/>
        </w:rPr>
      </w:pPr>
    </w:p>
    <w:p w:rsidR="00C10A5B" w:rsidRDefault="00C10A5B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9632C5" w:rsidRDefault="009632C5" w:rsidP="005C2FA2">
      <w:pPr>
        <w:spacing w:before="240" w:after="240" w:line="240" w:lineRule="auto"/>
        <w:rPr>
          <w:rFonts w:cs="Arial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632C5" w:rsidTr="009632C5">
        <w:trPr>
          <w:trHeight w:val="116"/>
        </w:trPr>
        <w:tc>
          <w:tcPr>
            <w:tcW w:w="9180" w:type="dxa"/>
            <w:shd w:val="clear" w:color="auto" w:fill="B8CCE4" w:themeFill="accent1" w:themeFillTint="66"/>
          </w:tcPr>
          <w:p w:rsidR="009632C5" w:rsidRDefault="009632C5" w:rsidP="009632C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 Tablas de datos e indicadores</w:t>
            </w:r>
            <w:r>
              <w:rPr>
                <w:rStyle w:val="Refdenotaalpie"/>
                <w:rFonts w:cs="Arial"/>
                <w:b/>
              </w:rPr>
              <w:footnoteReference w:id="2"/>
            </w:r>
            <w:r>
              <w:rPr>
                <w:b/>
                <w:bCs/>
                <w:sz w:val="23"/>
                <w:szCs w:val="23"/>
              </w:rPr>
              <w:t>.</w:t>
            </w:r>
          </w:p>
        </w:tc>
      </w:tr>
    </w:tbl>
    <w:p w:rsidR="005C2FA2" w:rsidRDefault="005C2FA2" w:rsidP="00F91A6D">
      <w:pPr>
        <w:spacing w:before="240" w:after="240" w:line="240" w:lineRule="auto"/>
        <w:jc w:val="both"/>
        <w:rPr>
          <w:rFonts w:cs="Arial"/>
        </w:rPr>
      </w:pPr>
      <w:r w:rsidRPr="002B2C64">
        <w:rPr>
          <w:rFonts w:cs="Arial"/>
        </w:rPr>
        <w:t xml:space="preserve">Por curso académico, </w:t>
      </w:r>
      <w:r>
        <w:rPr>
          <w:rFonts w:cs="Arial"/>
        </w:rPr>
        <w:t>se han de incluir los siguientes datos e indicadores sobre oferta, demanda y matrícula en el título:</w:t>
      </w:r>
    </w:p>
    <w:p w:rsidR="005C2FA2" w:rsidRDefault="005C2FA2" w:rsidP="00436215">
      <w:pPr>
        <w:pStyle w:val="Prrafodelista"/>
        <w:numPr>
          <w:ilvl w:val="0"/>
          <w:numId w:val="4"/>
        </w:numPr>
        <w:tabs>
          <w:tab w:val="clear" w:pos="1764"/>
          <w:tab w:val="num" w:pos="-360"/>
        </w:tabs>
        <w:spacing w:before="240" w:after="240" w:line="240" w:lineRule="auto"/>
        <w:ind w:left="360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>Número de plazas ofertadas de nuevo ingreso</w:t>
      </w:r>
    </w:p>
    <w:p w:rsidR="005C2FA2" w:rsidRDefault="005C2FA2" w:rsidP="00436215">
      <w:pPr>
        <w:pStyle w:val="Prrafodelista"/>
        <w:numPr>
          <w:ilvl w:val="0"/>
          <w:numId w:val="4"/>
        </w:numPr>
        <w:tabs>
          <w:tab w:val="clear" w:pos="1764"/>
          <w:tab w:val="num" w:pos="-360"/>
        </w:tabs>
        <w:spacing w:before="240" w:after="240" w:line="240" w:lineRule="auto"/>
        <w:ind w:left="360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>Número de estudiantes de nuevo ingreso</w:t>
      </w:r>
    </w:p>
    <w:p w:rsidR="005C2FA2" w:rsidRDefault="005C2FA2" w:rsidP="00436215">
      <w:pPr>
        <w:pStyle w:val="Prrafodelista"/>
        <w:numPr>
          <w:ilvl w:val="0"/>
          <w:numId w:val="4"/>
        </w:numPr>
        <w:tabs>
          <w:tab w:val="clear" w:pos="1764"/>
          <w:tab w:val="num" w:pos="-360"/>
        </w:tabs>
        <w:spacing w:before="240" w:after="240" w:line="240" w:lineRule="auto"/>
        <w:ind w:left="360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>Relación oferta/demanda en las plazas de nuevo ingreso</w:t>
      </w:r>
    </w:p>
    <w:p w:rsidR="005C2FA2" w:rsidRDefault="005C2FA2" w:rsidP="00436215">
      <w:pPr>
        <w:pStyle w:val="Prrafodelista"/>
        <w:numPr>
          <w:ilvl w:val="0"/>
          <w:numId w:val="4"/>
        </w:numPr>
        <w:tabs>
          <w:tab w:val="clear" w:pos="1764"/>
          <w:tab w:val="num" w:pos="-360"/>
        </w:tabs>
        <w:spacing w:before="240" w:after="240" w:line="240" w:lineRule="auto"/>
        <w:ind w:left="360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>Porcentaje de matriculados de nuevo ingreso por vías de acceso a los estudios</w:t>
      </w:r>
    </w:p>
    <w:p w:rsidR="005C2FA2" w:rsidRDefault="005C2FA2" w:rsidP="00436215">
      <w:pPr>
        <w:pStyle w:val="Prrafodelista"/>
        <w:numPr>
          <w:ilvl w:val="0"/>
          <w:numId w:val="4"/>
        </w:numPr>
        <w:tabs>
          <w:tab w:val="clear" w:pos="1764"/>
          <w:tab w:val="num" w:pos="-360"/>
        </w:tabs>
        <w:spacing w:before="240" w:after="240" w:line="240" w:lineRule="auto"/>
        <w:ind w:left="360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>Nota de corte PAU</w:t>
      </w:r>
    </w:p>
    <w:p w:rsidR="005C2FA2" w:rsidRDefault="005C2FA2" w:rsidP="00436215">
      <w:pPr>
        <w:pStyle w:val="Prrafodelista"/>
        <w:numPr>
          <w:ilvl w:val="0"/>
          <w:numId w:val="4"/>
        </w:numPr>
        <w:tabs>
          <w:tab w:val="clear" w:pos="1764"/>
          <w:tab w:val="num" w:pos="-360"/>
        </w:tabs>
        <w:spacing w:before="240" w:after="240" w:line="240" w:lineRule="auto"/>
        <w:ind w:left="360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>Nota media de acceso</w:t>
      </w:r>
    </w:p>
    <w:p w:rsidR="005C2FA2" w:rsidRDefault="005C2FA2" w:rsidP="00436215">
      <w:pPr>
        <w:pStyle w:val="Prrafodelista"/>
        <w:numPr>
          <w:ilvl w:val="0"/>
          <w:numId w:val="4"/>
        </w:numPr>
        <w:tabs>
          <w:tab w:val="clear" w:pos="1764"/>
          <w:tab w:val="num" w:pos="-360"/>
        </w:tabs>
        <w:spacing w:before="240" w:after="240" w:line="240" w:lineRule="auto"/>
        <w:ind w:left="360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>Número de estudiantes matriculados en el título</w:t>
      </w:r>
    </w:p>
    <w:p w:rsidR="005C2FA2" w:rsidRDefault="005C2FA2" w:rsidP="00436215">
      <w:pPr>
        <w:pStyle w:val="Prrafodelista"/>
        <w:numPr>
          <w:ilvl w:val="0"/>
          <w:numId w:val="4"/>
        </w:numPr>
        <w:tabs>
          <w:tab w:val="clear" w:pos="1764"/>
          <w:tab w:val="num" w:pos="-360"/>
        </w:tabs>
        <w:spacing w:before="240" w:after="240" w:line="240" w:lineRule="auto"/>
        <w:ind w:left="360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 xml:space="preserve">Porcentaje de hombres/mujeres matriculados </w:t>
      </w:r>
    </w:p>
    <w:p w:rsidR="005C2FA2" w:rsidRPr="002B2C64" w:rsidRDefault="005C2FA2" w:rsidP="00436215">
      <w:pPr>
        <w:pStyle w:val="Prrafodelista"/>
        <w:numPr>
          <w:ilvl w:val="0"/>
          <w:numId w:val="4"/>
        </w:numPr>
        <w:tabs>
          <w:tab w:val="clear" w:pos="1764"/>
          <w:tab w:val="num" w:pos="-360"/>
        </w:tabs>
        <w:spacing w:before="240" w:after="240" w:line="240" w:lineRule="auto"/>
        <w:ind w:left="360"/>
        <w:jc w:val="both"/>
        <w:rPr>
          <w:rFonts w:cs="Arial"/>
          <w:lang w:val="es-ES_tradnl"/>
        </w:rPr>
      </w:pPr>
      <w:r>
        <w:rPr>
          <w:rFonts w:cs="Arial"/>
          <w:lang w:val="es-ES_tradnl"/>
        </w:rPr>
        <w:t>Porcentaje de estudiantes de nuevo ingreso por procedencia geográfica: de la misma provincia, de otras provincias de Castilla y León, de otras Comunidades Autónomas e internacionales.</w:t>
      </w:r>
    </w:p>
    <w:p w:rsidR="005C2FA2" w:rsidRDefault="005C2FA2" w:rsidP="00F91A6D">
      <w:pPr>
        <w:spacing w:before="240" w:after="240" w:line="240" w:lineRule="auto"/>
        <w:jc w:val="both"/>
        <w:rPr>
          <w:rFonts w:cs="Arial"/>
        </w:rPr>
      </w:pPr>
      <w:r>
        <w:rPr>
          <w:rFonts w:cs="Arial"/>
        </w:rPr>
        <w:t>Igualmente, p</w:t>
      </w:r>
      <w:r w:rsidRPr="002B2C64">
        <w:rPr>
          <w:rFonts w:cs="Arial"/>
        </w:rPr>
        <w:t xml:space="preserve">or curso académico </w:t>
      </w:r>
      <w:r>
        <w:rPr>
          <w:rFonts w:cs="Arial"/>
        </w:rPr>
        <w:t>se han de incluir los siguientes datos e indicadores sobre resultados académicos del título:</w:t>
      </w:r>
    </w:p>
    <w:p w:rsidR="005C2FA2" w:rsidRPr="00FB2692" w:rsidRDefault="005C2FA2" w:rsidP="00436215">
      <w:pPr>
        <w:pStyle w:val="Prrafodelista"/>
        <w:numPr>
          <w:ilvl w:val="0"/>
          <w:numId w:val="4"/>
        </w:numPr>
        <w:tabs>
          <w:tab w:val="clear" w:pos="1764"/>
          <w:tab w:val="num" w:pos="-360"/>
        </w:tabs>
        <w:spacing w:before="240" w:after="240" w:line="240" w:lineRule="auto"/>
        <w:ind w:left="360"/>
        <w:jc w:val="both"/>
        <w:rPr>
          <w:rFonts w:cs="Arial"/>
          <w:lang w:val="es-ES_tradnl"/>
        </w:rPr>
      </w:pPr>
      <w:r w:rsidRPr="00FB2692">
        <w:rPr>
          <w:rFonts w:cs="Arial"/>
          <w:lang w:val="es-ES_tradnl"/>
        </w:rPr>
        <w:t>Tasa de rendimiento</w:t>
      </w:r>
    </w:p>
    <w:p w:rsidR="005C2FA2" w:rsidRPr="00FB2692" w:rsidRDefault="005C2FA2" w:rsidP="00436215">
      <w:pPr>
        <w:pStyle w:val="Prrafodelista"/>
        <w:numPr>
          <w:ilvl w:val="0"/>
          <w:numId w:val="4"/>
        </w:numPr>
        <w:tabs>
          <w:tab w:val="clear" w:pos="1764"/>
          <w:tab w:val="num" w:pos="-360"/>
        </w:tabs>
        <w:spacing w:before="240" w:after="240" w:line="240" w:lineRule="auto"/>
        <w:ind w:left="360"/>
        <w:jc w:val="both"/>
        <w:rPr>
          <w:rFonts w:cs="Arial"/>
          <w:lang w:val="es-ES_tradnl"/>
        </w:rPr>
      </w:pPr>
      <w:r w:rsidRPr="00FB2692">
        <w:rPr>
          <w:rFonts w:cs="Arial"/>
          <w:lang w:val="es-ES_tradnl"/>
        </w:rPr>
        <w:t>Tasa de abandono</w:t>
      </w:r>
    </w:p>
    <w:p w:rsidR="005C2FA2" w:rsidRPr="00FB2692" w:rsidRDefault="005C2FA2" w:rsidP="00436215">
      <w:pPr>
        <w:pStyle w:val="Prrafodelista"/>
        <w:numPr>
          <w:ilvl w:val="0"/>
          <w:numId w:val="4"/>
        </w:numPr>
        <w:tabs>
          <w:tab w:val="clear" w:pos="1764"/>
          <w:tab w:val="num" w:pos="-360"/>
        </w:tabs>
        <w:spacing w:before="240" w:after="240" w:line="240" w:lineRule="auto"/>
        <w:ind w:left="360"/>
        <w:jc w:val="both"/>
        <w:rPr>
          <w:rFonts w:cs="Arial"/>
          <w:lang w:val="es-ES_tradnl"/>
        </w:rPr>
      </w:pPr>
      <w:r w:rsidRPr="00FB2692">
        <w:rPr>
          <w:rFonts w:cs="Arial"/>
          <w:lang w:val="es-ES_tradnl"/>
        </w:rPr>
        <w:t>Tasa de graduación</w:t>
      </w:r>
    </w:p>
    <w:p w:rsidR="005C2FA2" w:rsidRPr="00FB2692" w:rsidRDefault="005C2FA2" w:rsidP="00436215">
      <w:pPr>
        <w:pStyle w:val="Prrafodelista"/>
        <w:numPr>
          <w:ilvl w:val="0"/>
          <w:numId w:val="4"/>
        </w:numPr>
        <w:tabs>
          <w:tab w:val="clear" w:pos="1764"/>
          <w:tab w:val="num" w:pos="-360"/>
        </w:tabs>
        <w:spacing w:before="240" w:after="240" w:line="240" w:lineRule="auto"/>
        <w:ind w:left="360"/>
        <w:jc w:val="both"/>
        <w:rPr>
          <w:rFonts w:cs="Arial"/>
          <w:lang w:val="es-ES_tradnl"/>
        </w:rPr>
      </w:pPr>
      <w:r w:rsidRPr="00FB2692">
        <w:rPr>
          <w:rFonts w:cs="Arial"/>
          <w:lang w:val="es-ES_tradnl"/>
        </w:rPr>
        <w:t>Tasa de eficiencia</w:t>
      </w:r>
    </w:p>
    <w:p w:rsidR="005C2FA2" w:rsidRDefault="005C2FA2" w:rsidP="00436215">
      <w:pPr>
        <w:pStyle w:val="Prrafodelista"/>
        <w:numPr>
          <w:ilvl w:val="0"/>
          <w:numId w:val="4"/>
        </w:numPr>
        <w:tabs>
          <w:tab w:val="clear" w:pos="1764"/>
          <w:tab w:val="num" w:pos="-360"/>
        </w:tabs>
        <w:spacing w:before="240" w:after="240" w:line="240" w:lineRule="auto"/>
        <w:ind w:left="360"/>
        <w:jc w:val="both"/>
        <w:rPr>
          <w:rFonts w:cs="Arial"/>
          <w:lang w:val="es-ES_tradnl"/>
        </w:rPr>
      </w:pPr>
      <w:r w:rsidRPr="00FB2692">
        <w:rPr>
          <w:rFonts w:cs="Arial"/>
          <w:lang w:val="es-ES_tradnl"/>
        </w:rPr>
        <w:t>Número de egresados</w:t>
      </w:r>
      <w:r>
        <w:rPr>
          <w:rFonts w:cs="Arial"/>
          <w:lang w:val="es-ES_tradnl"/>
        </w:rPr>
        <w:t xml:space="preserve"> por curso académico</w:t>
      </w:r>
    </w:p>
    <w:p w:rsidR="00181E63" w:rsidRDefault="005C2FA2" w:rsidP="00F91A6D">
      <w:pPr>
        <w:spacing w:line="240" w:lineRule="auto"/>
        <w:jc w:val="both"/>
        <w:rPr>
          <w:rFonts w:cs="Arial"/>
          <w:lang w:val="es-ES_tradnl"/>
        </w:rPr>
        <w:sectPr w:rsidR="00181E63" w:rsidSect="00094C24">
          <w:headerReference w:type="default" r:id="rId10"/>
          <w:footerReference w:type="default" r:id="rId11"/>
          <w:pgSz w:w="11906" w:h="16838"/>
          <w:pgMar w:top="2379" w:right="1418" w:bottom="851" w:left="1418" w:header="709" w:footer="709" w:gutter="0"/>
          <w:cols w:space="708"/>
          <w:titlePg/>
          <w:docGrid w:linePitch="360"/>
        </w:sectPr>
      </w:pPr>
      <w:r w:rsidRPr="004C0334">
        <w:rPr>
          <w:rFonts w:cs="Arial"/>
          <w:lang w:val="es-ES_tradnl"/>
        </w:rPr>
        <w:t>Respecto al personal académico que ha participado en el desarrollo del plan de estudios, se proporcionará</w:t>
      </w:r>
      <w:r w:rsidR="000C7164">
        <w:rPr>
          <w:rFonts w:cs="Arial"/>
          <w:lang w:val="es-ES_tradnl"/>
        </w:rPr>
        <w:t>n</w:t>
      </w:r>
      <w:r w:rsidRPr="004C0334">
        <w:rPr>
          <w:rFonts w:cs="Arial"/>
          <w:lang w:val="es-ES_tradnl"/>
        </w:rPr>
        <w:t xml:space="preserve"> la</w:t>
      </w:r>
      <w:r w:rsidR="000C7164">
        <w:rPr>
          <w:rFonts w:cs="Arial"/>
          <w:lang w:val="es-ES_tradnl"/>
        </w:rPr>
        <w:t>s</w:t>
      </w:r>
      <w:r w:rsidRPr="004C0334">
        <w:rPr>
          <w:rFonts w:cs="Arial"/>
          <w:lang w:val="es-ES_tradnl"/>
        </w:rPr>
        <w:t xml:space="preserve"> siguiente</w:t>
      </w:r>
      <w:r w:rsidR="000C7164">
        <w:rPr>
          <w:rFonts w:cs="Arial"/>
          <w:lang w:val="es-ES_tradnl"/>
        </w:rPr>
        <w:t>s</w:t>
      </w:r>
      <w:r w:rsidRPr="004C0334">
        <w:rPr>
          <w:rFonts w:cs="Arial"/>
          <w:lang w:val="es-ES_tradnl"/>
        </w:rPr>
        <w:t xml:space="preserve"> tabla</w:t>
      </w:r>
      <w:r w:rsidR="000C7164">
        <w:rPr>
          <w:rFonts w:cs="Arial"/>
          <w:lang w:val="es-ES_tradnl"/>
        </w:rPr>
        <w:t>s</w:t>
      </w:r>
      <w:r w:rsidRPr="004C0334">
        <w:rPr>
          <w:rFonts w:cs="Arial"/>
          <w:lang w:val="es-ES_tradnl"/>
        </w:rPr>
        <w:t xml:space="preserve"> para cada año académico del período objeto de evaluación: </w:t>
      </w:r>
    </w:p>
    <w:p w:rsidR="005C2FA2" w:rsidRPr="004C0334" w:rsidRDefault="005C2FA2" w:rsidP="005C2FA2">
      <w:pPr>
        <w:spacing w:line="240" w:lineRule="auto"/>
        <w:rPr>
          <w:rFonts w:cs="Arial"/>
          <w:lang w:val="es-ES_tradnl"/>
        </w:rPr>
      </w:pPr>
    </w:p>
    <w:p w:rsidR="005C2FA2" w:rsidRPr="000C7164" w:rsidRDefault="00705EF7" w:rsidP="005C2FA2">
      <w:pPr>
        <w:rPr>
          <w:szCs w:val="20"/>
        </w:rPr>
      </w:pPr>
      <w:r w:rsidRPr="00705EF7">
        <w:rPr>
          <w:noProof/>
          <w:szCs w:val="20"/>
          <w:lang w:eastAsia="es-ES"/>
        </w:rPr>
        <w:drawing>
          <wp:inline distT="0" distB="0" distL="0" distR="0">
            <wp:extent cx="8641080" cy="3094654"/>
            <wp:effectExtent l="19050" t="0" r="7620" b="0"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1080" cy="3094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1CD" w:rsidRPr="005C2FA2" w:rsidRDefault="006461CD">
      <w:pPr>
        <w:rPr>
          <w:b/>
          <w:sz w:val="32"/>
          <w:szCs w:val="32"/>
          <w:lang w:val="es-ES_tradnl"/>
        </w:rPr>
      </w:pPr>
    </w:p>
    <w:sectPr w:rsidR="006461CD" w:rsidRPr="005C2FA2" w:rsidSect="00181E63">
      <w:headerReference w:type="first" r:id="rId13"/>
      <w:footerReference w:type="first" r:id="rId14"/>
      <w:pgSz w:w="16838" w:h="11906" w:orient="landscape"/>
      <w:pgMar w:top="1418" w:right="2379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8D" w:rsidRDefault="00862D8D" w:rsidP="000C0D25">
      <w:pPr>
        <w:spacing w:after="0" w:line="240" w:lineRule="auto"/>
      </w:pPr>
      <w:r>
        <w:separator/>
      </w:r>
    </w:p>
  </w:endnote>
  <w:endnote w:type="continuationSeparator" w:id="0">
    <w:p w:rsidR="00862D8D" w:rsidRDefault="00862D8D" w:rsidP="000C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8D" w:rsidRDefault="00862D8D">
    <w:pPr>
      <w:pStyle w:val="Piedepgina"/>
      <w:rPr>
        <w:sz w:val="20"/>
        <w:szCs w:val="20"/>
      </w:rPr>
    </w:pPr>
  </w:p>
  <w:p w:rsidR="00862D8D" w:rsidRDefault="00056B11" w:rsidP="00056B11">
    <w:pPr>
      <w:pStyle w:val="Piedepgina"/>
      <w:tabs>
        <w:tab w:val="clear" w:pos="8504"/>
        <w:tab w:val="right" w:pos="9072"/>
      </w:tabs>
    </w:pPr>
    <w:r>
      <w:rPr>
        <w:sz w:val="20"/>
        <w:szCs w:val="20"/>
      </w:rPr>
      <w:t>Ed. 2</w:t>
    </w:r>
    <w:r w:rsidR="00862D8D">
      <w:rPr>
        <w:sz w:val="20"/>
        <w:szCs w:val="20"/>
      </w:rPr>
      <w:t xml:space="preserve">. </w:t>
    </w:r>
    <w:r>
      <w:rPr>
        <w:sz w:val="20"/>
        <w:szCs w:val="20"/>
      </w:rPr>
      <w:t xml:space="preserve">Abril </w:t>
    </w:r>
    <w:r w:rsidR="00862D8D">
      <w:rPr>
        <w:sz w:val="20"/>
        <w:szCs w:val="20"/>
      </w:rPr>
      <w:t>de 2013</w:t>
    </w:r>
    <w:r w:rsidR="00862D8D">
      <w:rPr>
        <w:sz w:val="20"/>
        <w:szCs w:val="20"/>
      </w:rPr>
      <w:tab/>
    </w:r>
    <w:r w:rsidR="00862D8D">
      <w:rPr>
        <w:sz w:val="20"/>
        <w:szCs w:val="20"/>
      </w:rPr>
      <w:tab/>
    </w:r>
    <w:r w:rsidR="000250A7" w:rsidRPr="006D2339">
      <w:rPr>
        <w:sz w:val="20"/>
        <w:szCs w:val="20"/>
      </w:rPr>
      <w:fldChar w:fldCharType="begin"/>
    </w:r>
    <w:r w:rsidR="00862D8D" w:rsidRPr="006D2339">
      <w:rPr>
        <w:sz w:val="20"/>
        <w:szCs w:val="20"/>
      </w:rPr>
      <w:instrText xml:space="preserve"> PAGE   \* MERGEFORMAT </w:instrText>
    </w:r>
    <w:r w:rsidR="000250A7" w:rsidRPr="006D2339">
      <w:rPr>
        <w:sz w:val="20"/>
        <w:szCs w:val="20"/>
      </w:rPr>
      <w:fldChar w:fldCharType="separate"/>
    </w:r>
    <w:r w:rsidR="006A2F7A">
      <w:rPr>
        <w:noProof/>
        <w:sz w:val="20"/>
        <w:szCs w:val="20"/>
      </w:rPr>
      <w:t>2</w:t>
    </w:r>
    <w:r w:rsidR="000250A7" w:rsidRPr="006D2339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11" w:rsidRDefault="00056B11" w:rsidP="00056B11">
    <w:pPr>
      <w:pStyle w:val="Piedepgina"/>
      <w:tabs>
        <w:tab w:val="clear" w:pos="8504"/>
        <w:tab w:val="right" w:pos="13608"/>
      </w:tabs>
    </w:pPr>
    <w:r>
      <w:rPr>
        <w:sz w:val="20"/>
        <w:szCs w:val="20"/>
      </w:rPr>
      <w:t>Ed. 2. Abril de 2013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0250A7" w:rsidRPr="006D2339">
      <w:rPr>
        <w:sz w:val="20"/>
        <w:szCs w:val="20"/>
      </w:rPr>
      <w:fldChar w:fldCharType="begin"/>
    </w:r>
    <w:r w:rsidRPr="006D2339">
      <w:rPr>
        <w:sz w:val="20"/>
        <w:szCs w:val="20"/>
      </w:rPr>
      <w:instrText xml:space="preserve"> PAGE   \* MERGEFORMAT </w:instrText>
    </w:r>
    <w:r w:rsidR="000250A7" w:rsidRPr="006D2339">
      <w:rPr>
        <w:sz w:val="20"/>
        <w:szCs w:val="20"/>
      </w:rPr>
      <w:fldChar w:fldCharType="separate"/>
    </w:r>
    <w:r w:rsidR="006A2F7A">
      <w:rPr>
        <w:noProof/>
        <w:sz w:val="20"/>
        <w:szCs w:val="20"/>
      </w:rPr>
      <w:t>15</w:t>
    </w:r>
    <w:r w:rsidR="000250A7" w:rsidRPr="006D233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8D" w:rsidRDefault="00862D8D" w:rsidP="000C0D25">
      <w:pPr>
        <w:spacing w:after="0" w:line="240" w:lineRule="auto"/>
      </w:pPr>
      <w:r>
        <w:separator/>
      </w:r>
    </w:p>
  </w:footnote>
  <w:footnote w:type="continuationSeparator" w:id="0">
    <w:p w:rsidR="00862D8D" w:rsidRDefault="00862D8D" w:rsidP="000C0D25">
      <w:pPr>
        <w:spacing w:after="0" w:line="240" w:lineRule="auto"/>
      </w:pPr>
      <w:r>
        <w:continuationSeparator/>
      </w:r>
    </w:p>
  </w:footnote>
  <w:footnote w:id="1">
    <w:p w:rsidR="00862D8D" w:rsidRDefault="00862D8D">
      <w:pPr>
        <w:pStyle w:val="Textonotapie"/>
      </w:pPr>
      <w:r>
        <w:rPr>
          <w:rStyle w:val="Refdenotaalpie"/>
        </w:rPr>
        <w:footnoteRef/>
      </w:r>
      <w:r>
        <w:t xml:space="preserve"> Esta extensión se refiere al </w:t>
      </w:r>
      <w:proofErr w:type="spellStart"/>
      <w:r>
        <w:t>Autoinforme</w:t>
      </w:r>
      <w:proofErr w:type="spellEnd"/>
      <w:r>
        <w:t>, sin tener en cuenta las tablas de datos y las posibles evidencias que se anexen.</w:t>
      </w:r>
    </w:p>
  </w:footnote>
  <w:footnote w:id="2">
    <w:p w:rsidR="00862D8D" w:rsidRPr="004C0334" w:rsidRDefault="00862D8D" w:rsidP="009632C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4C0334">
        <w:t xml:space="preserve">Para la obtención de estos datos e indicadores, la Universidad utilizará el Sistema Integrado de Información Universitaria siempre que sea posible.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D8D" w:rsidRDefault="00862D8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81280</wp:posOffset>
          </wp:positionV>
          <wp:extent cx="1809750" cy="796925"/>
          <wp:effectExtent l="19050" t="0" r="0" b="0"/>
          <wp:wrapSquare wrapText="bothSides"/>
          <wp:docPr id="1" name="Imagen 1" descr="logo agencia recor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encia recort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6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11" w:rsidRDefault="00056B11">
    <w:pPr>
      <w:pStyle w:val="Encabezado"/>
    </w:pPr>
    <w:r w:rsidRPr="00056B11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-273050</wp:posOffset>
          </wp:positionV>
          <wp:extent cx="1809750" cy="791210"/>
          <wp:effectExtent l="19050" t="0" r="0" b="0"/>
          <wp:wrapSquare wrapText="bothSides"/>
          <wp:docPr id="2" name="Imagen 1" descr="logo agencia recor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encia recort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15"/>
    <w:lvl w:ilvl="0">
      <w:start w:val="1"/>
      <w:numFmt w:val="bullet"/>
      <w:lvlText w:val="-"/>
      <w:lvlJc w:val="left"/>
      <w:pPr>
        <w:tabs>
          <w:tab w:val="num" w:pos="1764"/>
        </w:tabs>
        <w:ind w:left="2484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1764"/>
        </w:tabs>
        <w:ind w:left="320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764"/>
        </w:tabs>
        <w:ind w:left="392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764"/>
        </w:tabs>
        <w:ind w:left="464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764"/>
        </w:tabs>
        <w:ind w:left="536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764"/>
        </w:tabs>
        <w:ind w:left="608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764"/>
        </w:tabs>
        <w:ind w:left="680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764"/>
        </w:tabs>
        <w:ind w:left="752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764"/>
        </w:tabs>
        <w:ind w:left="8244" w:hanging="360"/>
      </w:pPr>
      <w:rPr>
        <w:rFonts w:ascii="Wingdings" w:hAnsi="Wingdings"/>
      </w:rPr>
    </w:lvl>
  </w:abstractNum>
  <w:abstractNum w:abstractNumId="1">
    <w:nsid w:val="08FA2162"/>
    <w:multiLevelType w:val="hybridMultilevel"/>
    <w:tmpl w:val="6778F56E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75A73"/>
    <w:multiLevelType w:val="hybridMultilevel"/>
    <w:tmpl w:val="7BB8AB9E"/>
    <w:lvl w:ilvl="0" w:tplc="139211E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4619C6"/>
    <w:multiLevelType w:val="hybridMultilevel"/>
    <w:tmpl w:val="0F826884"/>
    <w:lvl w:ilvl="0" w:tplc="139211E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623652"/>
    <w:multiLevelType w:val="hybridMultilevel"/>
    <w:tmpl w:val="31A4F0F4"/>
    <w:lvl w:ilvl="0" w:tplc="139211E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strike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723C3E"/>
    <w:multiLevelType w:val="multilevel"/>
    <w:tmpl w:val="B4D0339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>
    <w:nsid w:val="1D5613E9"/>
    <w:multiLevelType w:val="multilevel"/>
    <w:tmpl w:val="2222F60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>
    <w:nsid w:val="287417F6"/>
    <w:multiLevelType w:val="multilevel"/>
    <w:tmpl w:val="E0E0A356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5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A582348"/>
    <w:multiLevelType w:val="hybridMultilevel"/>
    <w:tmpl w:val="76C620E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BC39F3"/>
    <w:multiLevelType w:val="hybridMultilevel"/>
    <w:tmpl w:val="ADC2810E"/>
    <w:lvl w:ilvl="0" w:tplc="139211E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D14D58"/>
    <w:multiLevelType w:val="hybridMultilevel"/>
    <w:tmpl w:val="D22C7C64"/>
    <w:lvl w:ilvl="0" w:tplc="139211E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945569"/>
    <w:multiLevelType w:val="multilevel"/>
    <w:tmpl w:val="D908AF04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5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E54570E"/>
    <w:multiLevelType w:val="hybridMultilevel"/>
    <w:tmpl w:val="F1B41E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E08A5"/>
    <w:multiLevelType w:val="hybridMultilevel"/>
    <w:tmpl w:val="B284F26E"/>
    <w:lvl w:ilvl="0" w:tplc="139211EC">
      <w:start w:val="1"/>
      <w:numFmt w:val="bullet"/>
      <w:lvlText w:val="-"/>
      <w:lvlJc w:val="left"/>
      <w:pPr>
        <w:ind w:left="1044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4">
    <w:nsid w:val="47177475"/>
    <w:multiLevelType w:val="hybridMultilevel"/>
    <w:tmpl w:val="D7E60A18"/>
    <w:lvl w:ilvl="0" w:tplc="139211EC">
      <w:start w:val="1"/>
      <w:numFmt w:val="bullet"/>
      <w:lvlText w:val="-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48E66EFA"/>
    <w:multiLevelType w:val="hybridMultilevel"/>
    <w:tmpl w:val="9BDCE01A"/>
    <w:lvl w:ilvl="0" w:tplc="139211E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>
    <w:nsid w:val="4EC93DFD"/>
    <w:multiLevelType w:val="hybridMultilevel"/>
    <w:tmpl w:val="B4E0A15E"/>
    <w:lvl w:ilvl="0" w:tplc="139211E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8323DA"/>
    <w:multiLevelType w:val="hybridMultilevel"/>
    <w:tmpl w:val="56D6DCB0"/>
    <w:lvl w:ilvl="0" w:tplc="139211E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9D0A13"/>
    <w:multiLevelType w:val="hybridMultilevel"/>
    <w:tmpl w:val="671E6560"/>
    <w:lvl w:ilvl="0" w:tplc="139211E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965D7F"/>
    <w:multiLevelType w:val="hybridMultilevel"/>
    <w:tmpl w:val="EDDCDAE2"/>
    <w:lvl w:ilvl="0" w:tplc="C5EEE782">
      <w:start w:val="2"/>
      <w:numFmt w:val="lowerLetter"/>
      <w:lvlText w:val="%1)"/>
      <w:lvlJc w:val="left"/>
      <w:pPr>
        <w:ind w:left="6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9" w:hanging="360"/>
      </w:pPr>
    </w:lvl>
    <w:lvl w:ilvl="2" w:tplc="0C0A001B" w:tentative="1">
      <w:start w:val="1"/>
      <w:numFmt w:val="lowerRoman"/>
      <w:lvlText w:val="%3."/>
      <w:lvlJc w:val="right"/>
      <w:pPr>
        <w:ind w:left="2089" w:hanging="180"/>
      </w:pPr>
    </w:lvl>
    <w:lvl w:ilvl="3" w:tplc="0C0A000F" w:tentative="1">
      <w:start w:val="1"/>
      <w:numFmt w:val="decimal"/>
      <w:lvlText w:val="%4."/>
      <w:lvlJc w:val="left"/>
      <w:pPr>
        <w:ind w:left="2809" w:hanging="360"/>
      </w:pPr>
    </w:lvl>
    <w:lvl w:ilvl="4" w:tplc="0C0A0019" w:tentative="1">
      <w:start w:val="1"/>
      <w:numFmt w:val="lowerLetter"/>
      <w:lvlText w:val="%5."/>
      <w:lvlJc w:val="left"/>
      <w:pPr>
        <w:ind w:left="3529" w:hanging="360"/>
      </w:pPr>
    </w:lvl>
    <w:lvl w:ilvl="5" w:tplc="0C0A001B" w:tentative="1">
      <w:start w:val="1"/>
      <w:numFmt w:val="lowerRoman"/>
      <w:lvlText w:val="%6."/>
      <w:lvlJc w:val="right"/>
      <w:pPr>
        <w:ind w:left="4249" w:hanging="180"/>
      </w:pPr>
    </w:lvl>
    <w:lvl w:ilvl="6" w:tplc="0C0A000F" w:tentative="1">
      <w:start w:val="1"/>
      <w:numFmt w:val="decimal"/>
      <w:lvlText w:val="%7."/>
      <w:lvlJc w:val="left"/>
      <w:pPr>
        <w:ind w:left="4969" w:hanging="360"/>
      </w:pPr>
    </w:lvl>
    <w:lvl w:ilvl="7" w:tplc="0C0A0019" w:tentative="1">
      <w:start w:val="1"/>
      <w:numFmt w:val="lowerLetter"/>
      <w:lvlText w:val="%8."/>
      <w:lvlJc w:val="left"/>
      <w:pPr>
        <w:ind w:left="5689" w:hanging="360"/>
      </w:pPr>
    </w:lvl>
    <w:lvl w:ilvl="8" w:tplc="0C0A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0">
    <w:nsid w:val="58DC41EA"/>
    <w:multiLevelType w:val="hybridMultilevel"/>
    <w:tmpl w:val="B0A8A0F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E6747"/>
    <w:multiLevelType w:val="multilevel"/>
    <w:tmpl w:val="DDAED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B0D3999"/>
    <w:multiLevelType w:val="multilevel"/>
    <w:tmpl w:val="6E8ED812"/>
    <w:lvl w:ilvl="0">
      <w:start w:val="1"/>
      <w:numFmt w:val="lowerLetter"/>
      <w:lvlText w:val="%1)"/>
      <w:lvlJc w:val="left"/>
      <w:pPr>
        <w:ind w:left="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00" w:hanging="2520"/>
      </w:pPr>
      <w:rPr>
        <w:rFonts w:hint="default"/>
      </w:rPr>
    </w:lvl>
  </w:abstractNum>
  <w:abstractNum w:abstractNumId="23">
    <w:nsid w:val="5B994190"/>
    <w:multiLevelType w:val="hybridMultilevel"/>
    <w:tmpl w:val="08C6E774"/>
    <w:lvl w:ilvl="0" w:tplc="139211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39211E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0F06E7"/>
    <w:multiLevelType w:val="hybridMultilevel"/>
    <w:tmpl w:val="060EA460"/>
    <w:lvl w:ilvl="0" w:tplc="139211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39211E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28466C"/>
    <w:multiLevelType w:val="multilevel"/>
    <w:tmpl w:val="E1FAD4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AE75E56"/>
    <w:multiLevelType w:val="multilevel"/>
    <w:tmpl w:val="8E0AA3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6C7F0BB8"/>
    <w:multiLevelType w:val="hybridMultilevel"/>
    <w:tmpl w:val="7A6859EE"/>
    <w:lvl w:ilvl="0" w:tplc="139211E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1B744C9"/>
    <w:multiLevelType w:val="hybridMultilevel"/>
    <w:tmpl w:val="1A44FECE"/>
    <w:lvl w:ilvl="0" w:tplc="139211E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22354B"/>
    <w:multiLevelType w:val="hybridMultilevel"/>
    <w:tmpl w:val="6E52A8D6"/>
    <w:lvl w:ilvl="0" w:tplc="139211E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C686E8E"/>
    <w:multiLevelType w:val="multilevel"/>
    <w:tmpl w:val="BC54532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CCD1F88"/>
    <w:multiLevelType w:val="hybridMultilevel"/>
    <w:tmpl w:val="DA104CC2"/>
    <w:lvl w:ilvl="0" w:tplc="139211E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FF937EA"/>
    <w:multiLevelType w:val="multilevel"/>
    <w:tmpl w:val="890AA9A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22"/>
  </w:num>
  <w:num w:numId="4">
    <w:abstractNumId w:val="0"/>
  </w:num>
  <w:num w:numId="5">
    <w:abstractNumId w:val="20"/>
  </w:num>
  <w:num w:numId="6">
    <w:abstractNumId w:val="25"/>
  </w:num>
  <w:num w:numId="7">
    <w:abstractNumId w:val="9"/>
  </w:num>
  <w:num w:numId="8">
    <w:abstractNumId w:val="10"/>
  </w:num>
  <w:num w:numId="9">
    <w:abstractNumId w:val="18"/>
  </w:num>
  <w:num w:numId="10">
    <w:abstractNumId w:val="17"/>
  </w:num>
  <w:num w:numId="11">
    <w:abstractNumId w:val="28"/>
  </w:num>
  <w:num w:numId="12">
    <w:abstractNumId w:val="27"/>
  </w:num>
  <w:num w:numId="13">
    <w:abstractNumId w:val="13"/>
  </w:num>
  <w:num w:numId="14">
    <w:abstractNumId w:val="2"/>
  </w:num>
  <w:num w:numId="15">
    <w:abstractNumId w:val="15"/>
  </w:num>
  <w:num w:numId="16">
    <w:abstractNumId w:val="4"/>
  </w:num>
  <w:num w:numId="17">
    <w:abstractNumId w:val="11"/>
  </w:num>
  <w:num w:numId="18">
    <w:abstractNumId w:val="7"/>
  </w:num>
  <w:num w:numId="19">
    <w:abstractNumId w:val="3"/>
  </w:num>
  <w:num w:numId="20">
    <w:abstractNumId w:val="14"/>
  </w:num>
  <w:num w:numId="21">
    <w:abstractNumId w:val="23"/>
  </w:num>
  <w:num w:numId="22">
    <w:abstractNumId w:val="24"/>
  </w:num>
  <w:num w:numId="23">
    <w:abstractNumId w:val="31"/>
  </w:num>
  <w:num w:numId="24">
    <w:abstractNumId w:val="30"/>
  </w:num>
  <w:num w:numId="25">
    <w:abstractNumId w:val="32"/>
  </w:num>
  <w:num w:numId="26">
    <w:abstractNumId w:val="12"/>
  </w:num>
  <w:num w:numId="27">
    <w:abstractNumId w:val="26"/>
  </w:num>
  <w:num w:numId="28">
    <w:abstractNumId w:val="6"/>
  </w:num>
  <w:num w:numId="29">
    <w:abstractNumId w:val="29"/>
  </w:num>
  <w:num w:numId="30">
    <w:abstractNumId w:val="16"/>
  </w:num>
  <w:num w:numId="31">
    <w:abstractNumId w:val="5"/>
  </w:num>
  <w:num w:numId="32">
    <w:abstractNumId w:val="19"/>
  </w:num>
  <w:num w:numId="33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7C0"/>
    <w:rsid w:val="00005640"/>
    <w:rsid w:val="000108E5"/>
    <w:rsid w:val="0001185F"/>
    <w:rsid w:val="000149F5"/>
    <w:rsid w:val="000160C4"/>
    <w:rsid w:val="00016F07"/>
    <w:rsid w:val="000250A7"/>
    <w:rsid w:val="00025139"/>
    <w:rsid w:val="00027599"/>
    <w:rsid w:val="000364FA"/>
    <w:rsid w:val="00041018"/>
    <w:rsid w:val="0005504D"/>
    <w:rsid w:val="00056B11"/>
    <w:rsid w:val="00057B39"/>
    <w:rsid w:val="00062051"/>
    <w:rsid w:val="00062D96"/>
    <w:rsid w:val="000845D6"/>
    <w:rsid w:val="00094C24"/>
    <w:rsid w:val="00096370"/>
    <w:rsid w:val="000A2B92"/>
    <w:rsid w:val="000B235A"/>
    <w:rsid w:val="000C0D25"/>
    <w:rsid w:val="000C7164"/>
    <w:rsid w:val="000D1C54"/>
    <w:rsid w:val="000D77AE"/>
    <w:rsid w:val="000E6804"/>
    <w:rsid w:val="000E759D"/>
    <w:rsid w:val="000F745F"/>
    <w:rsid w:val="00100DE9"/>
    <w:rsid w:val="001017EB"/>
    <w:rsid w:val="00111847"/>
    <w:rsid w:val="001220C8"/>
    <w:rsid w:val="001229FB"/>
    <w:rsid w:val="00126016"/>
    <w:rsid w:val="001300BE"/>
    <w:rsid w:val="001556FB"/>
    <w:rsid w:val="00156C4C"/>
    <w:rsid w:val="00171385"/>
    <w:rsid w:val="001720F0"/>
    <w:rsid w:val="001722A6"/>
    <w:rsid w:val="00181E63"/>
    <w:rsid w:val="00190802"/>
    <w:rsid w:val="00195932"/>
    <w:rsid w:val="00197EC7"/>
    <w:rsid w:val="001A3B45"/>
    <w:rsid w:val="001A5970"/>
    <w:rsid w:val="001B7708"/>
    <w:rsid w:val="001C26AF"/>
    <w:rsid w:val="001C2C5F"/>
    <w:rsid w:val="001C5013"/>
    <w:rsid w:val="001D2233"/>
    <w:rsid w:val="001D33E2"/>
    <w:rsid w:val="001D5FD1"/>
    <w:rsid w:val="001E36D2"/>
    <w:rsid w:val="001F566B"/>
    <w:rsid w:val="002128C7"/>
    <w:rsid w:val="002217C0"/>
    <w:rsid w:val="002247C0"/>
    <w:rsid w:val="002317D0"/>
    <w:rsid w:val="00244193"/>
    <w:rsid w:val="002452D1"/>
    <w:rsid w:val="0025428A"/>
    <w:rsid w:val="00270D7F"/>
    <w:rsid w:val="00274C1E"/>
    <w:rsid w:val="00282D16"/>
    <w:rsid w:val="0029492A"/>
    <w:rsid w:val="002B0EF2"/>
    <w:rsid w:val="002B4BC4"/>
    <w:rsid w:val="002C2F09"/>
    <w:rsid w:val="002C4349"/>
    <w:rsid w:val="002C6A1C"/>
    <w:rsid w:val="002D2E62"/>
    <w:rsid w:val="002D71B5"/>
    <w:rsid w:val="002E0AA4"/>
    <w:rsid w:val="002E6CD7"/>
    <w:rsid w:val="002F1CC2"/>
    <w:rsid w:val="0030353D"/>
    <w:rsid w:val="00315A9F"/>
    <w:rsid w:val="00317521"/>
    <w:rsid w:val="00332569"/>
    <w:rsid w:val="00340B16"/>
    <w:rsid w:val="00341E50"/>
    <w:rsid w:val="00342581"/>
    <w:rsid w:val="00344143"/>
    <w:rsid w:val="0036129C"/>
    <w:rsid w:val="00365EFA"/>
    <w:rsid w:val="0038391E"/>
    <w:rsid w:val="003B3768"/>
    <w:rsid w:val="003C1BB7"/>
    <w:rsid w:val="003F72E5"/>
    <w:rsid w:val="003F733E"/>
    <w:rsid w:val="003F735C"/>
    <w:rsid w:val="00402B86"/>
    <w:rsid w:val="00403450"/>
    <w:rsid w:val="00417D84"/>
    <w:rsid w:val="00433D21"/>
    <w:rsid w:val="00436215"/>
    <w:rsid w:val="00446B37"/>
    <w:rsid w:val="004523A6"/>
    <w:rsid w:val="004574EF"/>
    <w:rsid w:val="004720C1"/>
    <w:rsid w:val="004809C5"/>
    <w:rsid w:val="00494CB0"/>
    <w:rsid w:val="00496A46"/>
    <w:rsid w:val="004C5A34"/>
    <w:rsid w:val="004D0F40"/>
    <w:rsid w:val="004E23FD"/>
    <w:rsid w:val="004E31D3"/>
    <w:rsid w:val="004E391A"/>
    <w:rsid w:val="004F2430"/>
    <w:rsid w:val="004F252D"/>
    <w:rsid w:val="004F26F5"/>
    <w:rsid w:val="005056CC"/>
    <w:rsid w:val="005070ED"/>
    <w:rsid w:val="0051443E"/>
    <w:rsid w:val="00516E1C"/>
    <w:rsid w:val="005214C7"/>
    <w:rsid w:val="00522822"/>
    <w:rsid w:val="00540EC1"/>
    <w:rsid w:val="00543F0F"/>
    <w:rsid w:val="0055420F"/>
    <w:rsid w:val="00554381"/>
    <w:rsid w:val="00566E08"/>
    <w:rsid w:val="0057074F"/>
    <w:rsid w:val="00583EBF"/>
    <w:rsid w:val="00594680"/>
    <w:rsid w:val="00595BE8"/>
    <w:rsid w:val="005A36CC"/>
    <w:rsid w:val="005A5B8E"/>
    <w:rsid w:val="005B0F4B"/>
    <w:rsid w:val="005B3788"/>
    <w:rsid w:val="005B6788"/>
    <w:rsid w:val="005C14A3"/>
    <w:rsid w:val="005C2FA2"/>
    <w:rsid w:val="005D2ED6"/>
    <w:rsid w:val="005D374A"/>
    <w:rsid w:val="005D6A7C"/>
    <w:rsid w:val="005E2E62"/>
    <w:rsid w:val="005E39F5"/>
    <w:rsid w:val="005F03EA"/>
    <w:rsid w:val="005F47AF"/>
    <w:rsid w:val="005F7E31"/>
    <w:rsid w:val="006345EF"/>
    <w:rsid w:val="00641A27"/>
    <w:rsid w:val="00641B24"/>
    <w:rsid w:val="006461CD"/>
    <w:rsid w:val="00647539"/>
    <w:rsid w:val="0066454F"/>
    <w:rsid w:val="006742C3"/>
    <w:rsid w:val="00685DB4"/>
    <w:rsid w:val="0069005D"/>
    <w:rsid w:val="0069779F"/>
    <w:rsid w:val="006A0E85"/>
    <w:rsid w:val="006A2F7A"/>
    <w:rsid w:val="006A70F5"/>
    <w:rsid w:val="006B1C83"/>
    <w:rsid w:val="006B515A"/>
    <w:rsid w:val="006B7EC6"/>
    <w:rsid w:val="006C3B24"/>
    <w:rsid w:val="006D0624"/>
    <w:rsid w:val="006D1ED5"/>
    <w:rsid w:val="006D2339"/>
    <w:rsid w:val="006D644E"/>
    <w:rsid w:val="006E2031"/>
    <w:rsid w:val="006E223A"/>
    <w:rsid w:val="006F5855"/>
    <w:rsid w:val="00703786"/>
    <w:rsid w:val="00705EF7"/>
    <w:rsid w:val="0072621C"/>
    <w:rsid w:val="00736D6F"/>
    <w:rsid w:val="00736FF6"/>
    <w:rsid w:val="00741FF1"/>
    <w:rsid w:val="0074270D"/>
    <w:rsid w:val="00752BFB"/>
    <w:rsid w:val="00757D67"/>
    <w:rsid w:val="00760815"/>
    <w:rsid w:val="0076186B"/>
    <w:rsid w:val="00772D54"/>
    <w:rsid w:val="007826F6"/>
    <w:rsid w:val="00796086"/>
    <w:rsid w:val="007A70CD"/>
    <w:rsid w:val="007E0FE6"/>
    <w:rsid w:val="007E30C5"/>
    <w:rsid w:val="007F09B4"/>
    <w:rsid w:val="007F1C23"/>
    <w:rsid w:val="0080260D"/>
    <w:rsid w:val="00803059"/>
    <w:rsid w:val="00804D2C"/>
    <w:rsid w:val="00807562"/>
    <w:rsid w:val="00813296"/>
    <w:rsid w:val="008168A0"/>
    <w:rsid w:val="00825DAD"/>
    <w:rsid w:val="0083525E"/>
    <w:rsid w:val="00845BC4"/>
    <w:rsid w:val="00850B9E"/>
    <w:rsid w:val="00854EE8"/>
    <w:rsid w:val="00861B41"/>
    <w:rsid w:val="00862D8D"/>
    <w:rsid w:val="00864547"/>
    <w:rsid w:val="00864D18"/>
    <w:rsid w:val="00872CE9"/>
    <w:rsid w:val="00874FE3"/>
    <w:rsid w:val="00882B4C"/>
    <w:rsid w:val="008A13B8"/>
    <w:rsid w:val="008A1637"/>
    <w:rsid w:val="008A1BAA"/>
    <w:rsid w:val="008A21EC"/>
    <w:rsid w:val="008A274F"/>
    <w:rsid w:val="008A77B0"/>
    <w:rsid w:val="008C28CE"/>
    <w:rsid w:val="008D7BD6"/>
    <w:rsid w:val="008E2E43"/>
    <w:rsid w:val="00900BEB"/>
    <w:rsid w:val="00903147"/>
    <w:rsid w:val="009070C3"/>
    <w:rsid w:val="00910692"/>
    <w:rsid w:val="00915BEA"/>
    <w:rsid w:val="00915E39"/>
    <w:rsid w:val="00916213"/>
    <w:rsid w:val="009213AF"/>
    <w:rsid w:val="009257A3"/>
    <w:rsid w:val="0092592C"/>
    <w:rsid w:val="00941098"/>
    <w:rsid w:val="00942A57"/>
    <w:rsid w:val="00944AEF"/>
    <w:rsid w:val="00962035"/>
    <w:rsid w:val="009632C5"/>
    <w:rsid w:val="00981D5F"/>
    <w:rsid w:val="0098492F"/>
    <w:rsid w:val="00995527"/>
    <w:rsid w:val="0099614E"/>
    <w:rsid w:val="009B2B1B"/>
    <w:rsid w:val="009B31BC"/>
    <w:rsid w:val="009B6CC1"/>
    <w:rsid w:val="009D62D6"/>
    <w:rsid w:val="009E65DB"/>
    <w:rsid w:val="009F36F1"/>
    <w:rsid w:val="00A17DFE"/>
    <w:rsid w:val="00A25500"/>
    <w:rsid w:val="00A503D2"/>
    <w:rsid w:val="00A53539"/>
    <w:rsid w:val="00A56BC3"/>
    <w:rsid w:val="00A57E80"/>
    <w:rsid w:val="00A70E06"/>
    <w:rsid w:val="00A72DB2"/>
    <w:rsid w:val="00A85F2E"/>
    <w:rsid w:val="00A955B4"/>
    <w:rsid w:val="00AA73BB"/>
    <w:rsid w:val="00AB75D2"/>
    <w:rsid w:val="00AC0A7B"/>
    <w:rsid w:val="00AD14A6"/>
    <w:rsid w:val="00AD181F"/>
    <w:rsid w:val="00AD2432"/>
    <w:rsid w:val="00AD6E98"/>
    <w:rsid w:val="00AD75EC"/>
    <w:rsid w:val="00AE2774"/>
    <w:rsid w:val="00AE5ADF"/>
    <w:rsid w:val="00AF1D53"/>
    <w:rsid w:val="00B03250"/>
    <w:rsid w:val="00B1613A"/>
    <w:rsid w:val="00B4677B"/>
    <w:rsid w:val="00B5097A"/>
    <w:rsid w:val="00B56CE9"/>
    <w:rsid w:val="00B56EE9"/>
    <w:rsid w:val="00B5763F"/>
    <w:rsid w:val="00B7195D"/>
    <w:rsid w:val="00B750BD"/>
    <w:rsid w:val="00B75275"/>
    <w:rsid w:val="00B7583A"/>
    <w:rsid w:val="00B86090"/>
    <w:rsid w:val="00B87D70"/>
    <w:rsid w:val="00B90FE4"/>
    <w:rsid w:val="00B922A0"/>
    <w:rsid w:val="00B96938"/>
    <w:rsid w:val="00BA4795"/>
    <w:rsid w:val="00BA6A2E"/>
    <w:rsid w:val="00BB2AB1"/>
    <w:rsid w:val="00BC188F"/>
    <w:rsid w:val="00BC42E4"/>
    <w:rsid w:val="00BC501A"/>
    <w:rsid w:val="00BE229C"/>
    <w:rsid w:val="00BF01F6"/>
    <w:rsid w:val="00BF715D"/>
    <w:rsid w:val="00BF7667"/>
    <w:rsid w:val="00C021EC"/>
    <w:rsid w:val="00C10A5B"/>
    <w:rsid w:val="00C14BC4"/>
    <w:rsid w:val="00C15359"/>
    <w:rsid w:val="00C23B77"/>
    <w:rsid w:val="00C24113"/>
    <w:rsid w:val="00C3692F"/>
    <w:rsid w:val="00C53537"/>
    <w:rsid w:val="00C54CCA"/>
    <w:rsid w:val="00C54DFF"/>
    <w:rsid w:val="00C64A2F"/>
    <w:rsid w:val="00C65D1E"/>
    <w:rsid w:val="00C743C8"/>
    <w:rsid w:val="00C81141"/>
    <w:rsid w:val="00C8378B"/>
    <w:rsid w:val="00C87A6C"/>
    <w:rsid w:val="00C95CA8"/>
    <w:rsid w:val="00C95F09"/>
    <w:rsid w:val="00C960F1"/>
    <w:rsid w:val="00CA1F0B"/>
    <w:rsid w:val="00CA59D5"/>
    <w:rsid w:val="00CA7AA0"/>
    <w:rsid w:val="00CB0B00"/>
    <w:rsid w:val="00CC1484"/>
    <w:rsid w:val="00CD000E"/>
    <w:rsid w:val="00CD22BC"/>
    <w:rsid w:val="00CD2DF5"/>
    <w:rsid w:val="00CD43F9"/>
    <w:rsid w:val="00CE6CB7"/>
    <w:rsid w:val="00CE6DF5"/>
    <w:rsid w:val="00CF127A"/>
    <w:rsid w:val="00CF340F"/>
    <w:rsid w:val="00D03E0A"/>
    <w:rsid w:val="00D10172"/>
    <w:rsid w:val="00D344B3"/>
    <w:rsid w:val="00D43AF5"/>
    <w:rsid w:val="00D4427F"/>
    <w:rsid w:val="00D45086"/>
    <w:rsid w:val="00D53722"/>
    <w:rsid w:val="00D7579A"/>
    <w:rsid w:val="00D826EF"/>
    <w:rsid w:val="00D86848"/>
    <w:rsid w:val="00D8796C"/>
    <w:rsid w:val="00DA43C5"/>
    <w:rsid w:val="00DA5159"/>
    <w:rsid w:val="00DC410E"/>
    <w:rsid w:val="00DE0A8D"/>
    <w:rsid w:val="00DE3803"/>
    <w:rsid w:val="00DF09F6"/>
    <w:rsid w:val="00E242DF"/>
    <w:rsid w:val="00E332E5"/>
    <w:rsid w:val="00E34DF9"/>
    <w:rsid w:val="00E40F35"/>
    <w:rsid w:val="00E44559"/>
    <w:rsid w:val="00E45891"/>
    <w:rsid w:val="00E57306"/>
    <w:rsid w:val="00E66CD2"/>
    <w:rsid w:val="00E742A9"/>
    <w:rsid w:val="00E824DB"/>
    <w:rsid w:val="00EA24B0"/>
    <w:rsid w:val="00EB5F81"/>
    <w:rsid w:val="00EC102F"/>
    <w:rsid w:val="00EC3E2F"/>
    <w:rsid w:val="00ED3DB7"/>
    <w:rsid w:val="00ED7F61"/>
    <w:rsid w:val="00EE0BA4"/>
    <w:rsid w:val="00EE27AE"/>
    <w:rsid w:val="00EF4191"/>
    <w:rsid w:val="00F0472D"/>
    <w:rsid w:val="00F07E72"/>
    <w:rsid w:val="00F10254"/>
    <w:rsid w:val="00F11020"/>
    <w:rsid w:val="00F44210"/>
    <w:rsid w:val="00F45676"/>
    <w:rsid w:val="00F52BA4"/>
    <w:rsid w:val="00F57B22"/>
    <w:rsid w:val="00F620A8"/>
    <w:rsid w:val="00F91A6D"/>
    <w:rsid w:val="00F93611"/>
    <w:rsid w:val="00F95CE1"/>
    <w:rsid w:val="00F95D77"/>
    <w:rsid w:val="00F962ED"/>
    <w:rsid w:val="00FA1102"/>
    <w:rsid w:val="00FA7207"/>
    <w:rsid w:val="00FA78A9"/>
    <w:rsid w:val="00FB6C92"/>
    <w:rsid w:val="00FC34C2"/>
    <w:rsid w:val="00FC540E"/>
    <w:rsid w:val="00FC5F56"/>
    <w:rsid w:val="00FD176A"/>
    <w:rsid w:val="00FE4AD8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ED6"/>
  </w:style>
  <w:style w:type="paragraph" w:styleId="Ttulo1">
    <w:name w:val="heading 1"/>
    <w:basedOn w:val="Normal"/>
    <w:next w:val="Normal"/>
    <w:link w:val="Ttulo1Car"/>
    <w:uiPriority w:val="9"/>
    <w:qFormat/>
    <w:rsid w:val="00B75275"/>
    <w:pPr>
      <w:keepNext/>
      <w:keepLines/>
      <w:spacing w:before="240" w:after="240" w:line="360" w:lineRule="auto"/>
      <w:jc w:val="both"/>
      <w:outlineLvl w:val="0"/>
    </w:pPr>
    <w:rPr>
      <w:rFonts w:ascii="Verdana" w:eastAsia="Times New Roman" w:hAnsi="Verdana" w:cs="Times New Roman"/>
      <w:b/>
      <w:bCs/>
      <w:color w:val="365F91"/>
      <w:sz w:val="20"/>
      <w:szCs w:val="28"/>
      <w:u w:val="singl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C2FA2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65EF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59D5"/>
    <w:pPr>
      <w:ind w:left="720"/>
      <w:contextualSpacing/>
    </w:pPr>
  </w:style>
  <w:style w:type="paragraph" w:customStyle="1" w:styleId="Default">
    <w:name w:val="Default"/>
    <w:rsid w:val="00ED7F6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F110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110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110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10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10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2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C0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C0D25"/>
  </w:style>
  <w:style w:type="paragraph" w:styleId="Piedepgina">
    <w:name w:val="footer"/>
    <w:basedOn w:val="Normal"/>
    <w:link w:val="PiedepginaCar"/>
    <w:uiPriority w:val="99"/>
    <w:unhideWhenUsed/>
    <w:rsid w:val="000C0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D25"/>
  </w:style>
  <w:style w:type="paragraph" w:styleId="Textonotapie">
    <w:name w:val="footnote text"/>
    <w:basedOn w:val="Normal"/>
    <w:link w:val="TextonotapieCar"/>
    <w:uiPriority w:val="99"/>
    <w:semiHidden/>
    <w:unhideWhenUsed/>
    <w:rsid w:val="00942A5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A5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A57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B75275"/>
    <w:rPr>
      <w:rFonts w:ascii="Verdana" w:eastAsia="Times New Roman" w:hAnsi="Verdana" w:cs="Times New Roman"/>
      <w:b/>
      <w:bCs/>
      <w:color w:val="365F91"/>
      <w:sz w:val="20"/>
      <w:szCs w:val="28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65E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C2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7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E5366-A4A8-4562-BFD1-6F2731150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2801</Words>
  <Characters>15407</Characters>
  <Application>Microsoft Office Word</Application>
  <DocSecurity>4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Agencia</dc:creator>
  <cp:lastModifiedBy>mercedes</cp:lastModifiedBy>
  <cp:revision>2</cp:revision>
  <cp:lastPrinted>2013-04-30T13:17:00Z</cp:lastPrinted>
  <dcterms:created xsi:type="dcterms:W3CDTF">2014-03-14T18:57:00Z</dcterms:created>
  <dcterms:modified xsi:type="dcterms:W3CDTF">2014-03-14T18:57:00Z</dcterms:modified>
</cp:coreProperties>
</file>